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AEUV — (ex-Artikel 16 EGV)</w:t>
      </w:r>
    </w:p>
    <w:p>
      <w:r>
        <w:rPr>
          <w:color w:val="555555"/>
          <w:sz w:val="18"/>
        </w:rPr>
        <w:t xml:space="preserve">AEUV</w:t>
      </w:r>
    </w:p>
    <w:p>
      <w:r>
        <w:rPr>
          <w:color w:val="555555"/>
          <w:sz w:val="18"/>
        </w:rPr>
        <w:t xml:space="preserve">Stand: 22.07.2026 (konsolidierte Textfassung, kein amtliches Inkrafttretensdatum)</w:t>
      </w:r>
    </w:p>
    <w:p>
      <w:r>
        <w:t xml:space="preserve">Unbeschadet des Artikels 4 des Vertrags über die Europäische Union und der Artikel 93, 106 und 107 dieses Vertrags und in Anbetracht des Stellenwerts, den Dienste von allgemeinem wirtschaftlichem Interesse innerhalb der gemeinsamen Werte der Union einnehmen, sowie ihrer Bedeutung bei der Förderung des sozialen und territorialen Zusammenhalts tragen die Union und die Mitgliedstaaten im Rahmen ihrer jeweiligen Befugnisse im Anwendungsbereich der Verträge dafür Sorge, dass die Grundsätze und Bedingungen, insbesondere jene wirtschaftlicher und finanzieller Art, für das Funktionieren dieser Dienste so gestaltet sind, dass diese ihren Aufgaben nachkommen können. Diese Grundsätze und Bedingungen werden vom Europäischen Parlament und vom Rat durch Verordnungen gemäß dem ordentlichen Gesetzgebungsverfahren festgelegt, unbeschadet der Zuständigkeit der Mitgliedstaaten, diese Dienste im Einklang mit den Verträgen zur Verfügung zu stellen, in Auftrag zu geben und zu finanzieren.</w:t>
      </w:r>
    </w:p>
    <w:p>
      <w:r>
        <w:rPr>
          <w:color w:val="555555"/>
          <w:sz w:val="17"/>
        </w:rPr>
        <w:t xml:space="preserve">Zitiervorschlag: Art 14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