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138 AEUV — (ex-Artikel 111 Absatz 4 EGV)</w:t>
      </w:r>
    </w:p>
    <w:p>
      <w:r>
        <w:rPr>
          <w:color w:val="555555"/>
          <w:sz w:val="18"/>
        </w:rPr>
        <w:t xml:space="preserve">AEUV</w:t>
      </w:r>
    </w:p>
    <w:p>
      <w:r>
        <w:rPr>
          <w:color w:val="555555"/>
          <w:sz w:val="18"/>
        </w:rPr>
        <w:t xml:space="preserve">Stand: 22.07.2026 (konsolidierte Textfassung, kein amtliches Inkrafttretensdatum)</w:t>
      </w:r>
    </w:p>
    <w:p>
      <w:r>
        <w:t xml:space="preserve">(1) Zur Gewährleistung der Stellung des Euro im internationalen Währungssystem erlässt der Rat auf Vorschlag der Kommission einen Beschluss zur Festlegung der innerhalb der zuständigen internationalen Einrichtungen und Konferenzen im Finanzbereich einzunehmenden gemeinsamen Standpunkte zu den Fragen, die von besonderer Bedeutung für die Wirtschafts- und Währungsunion sind. Der Rat beschließt nach Anhörung der Europäischen Zentralbank.</w:t>
      </w:r>
    </w:p>
    <w:p>
      <w:r>
        <w:t xml:space="preserve">(2) Der Rat kann auf Vorschlag der Kommission geeignete Maßnahmen mit dem Ziel erlassen, eine einheitliche Vertretung bei den internationalen Einrichtungen und Konferenzen im Finanzbereich sicherzustellen. Der Rat beschließt nach Anhörung der Europäischen Zentralbank.</w:t>
      </w:r>
    </w:p>
    <w:p>
      <w:r>
        <w:t xml:space="preserve">(3) Bei den in den Absätzen 1 und 2 genannten Maßnahmen sind nur die Mitglieder des Rates stimmberechtigt, die die Mitgliedstaaten vertreten, deren Währung der Euro ist.</w:t>
      </w:r>
    </w:p>
    <w:p>
      <w:r>
        <w:t xml:space="preserve">Die qualifizierte Mehrheit dieser Mitglieder bestimmt sich nach Artikel 238 Absatz 3 Buchstabe a.</w:t>
      </w:r>
    </w:p>
    <w:p>
      <w:r>
        <w:rPr>
          <w:color w:val="555555"/>
          <w:sz w:val="17"/>
        </w:rPr>
        <w:t xml:space="preserve">Zitiervorschlag: Art 138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