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136 AEUV</w:t>
      </w:r>
    </w:p>
    <w:p>
      <w:r>
        <w:rPr>
          <w:color w:val="555555"/>
          <w:sz w:val="18"/>
        </w:rPr>
        <w:t xml:space="preserve">AEUV</w:t>
      </w:r>
    </w:p>
    <w:p>
      <w:r>
        <w:rPr>
          <w:color w:val="555555"/>
          <w:sz w:val="18"/>
        </w:rPr>
        <w:t xml:space="preserve">Stand: 22.07.2026 (konsolidierte Textfassung, kein amtliches Inkrafttretensdatum)</w:t>
      </w:r>
    </w:p>
    <w:p>
      <w:r>
        <w:t xml:space="preserve">(1) Im Hinblick auf das reibungslose Funktionieren der Wirtschafts- und Währungsunion erlässt der Rat für die Mitgliedstaaten, deren Währung der Euro ist, Maßnahmen nach den einschlägigen Bestimmungen der Verträge und dem entsprechenden Verfahren unter den in den Artikeln 121 und 126 genannten Verfahren, mit Ausnahme des in Artikel 126 Absatz 14 genannten Verfahrens, um</w:t>
      </w:r>
    </w:p>
    <w:p>
      <w:r>
        <w:t xml:space="preserve">a) die Koordinierung und Überwachung ihrer Haushaltsdisziplin zu verstärken,</w:t>
      </w:r>
    </w:p>
    <w:p>
      <w:r>
        <w:t xml:space="preserve">b) für diese Staaten Grundzüge der Wirtschaftspolitik auszuarbeiten, wobei darauf zu achten ist, dass diese mit den für die gesamte Union angenommenen Grundzügen der Wirtschaftspolitik vereinbar sind, und ihre Einhaltung zu überwachen.</w:t>
      </w:r>
    </w:p>
    <w:p>
      <w:r>
        <w:t xml:space="preserve">(2) Bei den in Absatz 1 genannten Maßnahmen sind nur die Mitglieder des Rates stimmberechtigt, die die Mitgliedstaaten vertreten, deren Währung der Euro ist.</w:t>
      </w:r>
    </w:p>
    <w:p>
      <w:r>
        <w:t xml:space="preserve">Die qualifizierte Mehrheit dieser Mitglieder bestimmt sich nach Artikel 238 Absatz 3 Buchstabe a.</w:t>
      </w:r>
    </w:p>
    <w:p>
      <w:r>
        <w:t xml:space="preserve">(3) Die Mitgliedstaaten, deren Währung der Euro ist, können einen Stabilitätsmechanismus einrichten, der aktiviert wird, wenn dies unabdingbar ist, um die Stabilität des Euro-Währungsgebiets insgesamt zu wahren. Die Gewährung aller erforderlichen Finanzhilfen im Rahmen des Mechanismus wird strengen Auflagen unterliegen.</w:t>
      </w:r>
    </w:p>
    <w:p>
      <w:r>
        <w:rPr>
          <w:color w:val="555555"/>
          <w:sz w:val="17"/>
        </w:rPr>
        <w:t xml:space="preserve">Zitiervorschlag: Art 136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