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135 AEUV — (ex-Artikel 115 EGV)</w:t>
      </w:r>
    </w:p>
    <w:p>
      <w:r>
        <w:rPr>
          <w:color w:val="555555"/>
          <w:sz w:val="18"/>
        </w:rPr>
        <w:t xml:space="preserve">AEUV</w:t>
      </w:r>
    </w:p>
    <w:p>
      <w:r>
        <w:rPr>
          <w:color w:val="555555"/>
          <w:sz w:val="18"/>
        </w:rPr>
        <w:t xml:space="preserve">Stand: 22.07.2026 (konsolidierte Textfassung, kein amtliches Inkrafttretensdatum)</w:t>
      </w:r>
    </w:p>
    <w:p>
      <w:r>
        <w:t xml:space="preserve">Bei Fragen, die in den Geltungsbereich von Artikel 121 Absatz 4, Artikel 126 mit Ausnahme von Absatz 14, Artikel 138, Artikel 140 Absatz 1, Artikel 140 Absatz 2 Unterabsatz 1, Artikel 140 Absatz 3 und Artikel 219 fallen, kann der Rat oder ein Mitgliedstaat die Kommission ersuchen, je nach Zweckmäßigkeit eine Empfehlung oder einen Vorschlag zu unterbreiten. Die Kommission prüft dieses Ersuchen und unterbreitet dem Rat umgehend ihre Schlussfolgerungen.</w:t>
      </w:r>
    </w:p>
    <w:p>
      <w:r>
        <w:rPr>
          <w:color w:val="555555"/>
          <w:sz w:val="17"/>
        </w:rPr>
        <w:t xml:space="preserve">Zitiervorschlag: Art 135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