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134 AEUV — (ex-Artikel 114 EGV)</w:t>
      </w:r>
    </w:p>
    <w:p>
      <w:r>
        <w:rPr>
          <w:color w:val="555555"/>
          <w:sz w:val="18"/>
        </w:rPr>
        <w:t xml:space="preserve">AEUV</w:t>
      </w:r>
    </w:p>
    <w:p>
      <w:r>
        <w:rPr>
          <w:color w:val="555555"/>
          <w:sz w:val="18"/>
        </w:rPr>
        <w:t xml:space="preserve">Stand: 22.07.2026 (konsolidierte Textfassung, kein amtliches Inkrafttretensdatum)</w:t>
      </w:r>
    </w:p>
    <w:p>
      <w:r>
        <w:t xml:space="preserve">(1) Um die Koordinierung der Politiken der Mitgliedstaaten in dem für das Funktionieren des Binnenmarkts erforderlichen Umfang zu fördern, wird ein Wirtschafts- und Finanzausschuss eingesetzt.</w:t>
      </w:r>
    </w:p>
    <w:p>
      <w:r>
        <w:t xml:space="preserve">(2) Der Wirtschafts- und Finanzausschuss hat die Aufgabe,</w:t>
      </w:r>
    </w:p>
    <w:p>
      <w:r>
        <w:t xml:space="preserve">— auf Ersuchen des Rates oder der Kommission oder von sich aus Stellungnahmen an diese Organe abzugeben;</w:t>
      </w:r>
    </w:p>
    <w:p>
      <w:r>
        <w:t xml:space="preserve">— die Wirtschafts- und Finanzlage der Mitgliedstaaten und der Union zu beobachten und dem Rat und der Kommission regelmäßig darüber Bericht zu erstatten, insbesondere über die finanziellen Beziehungen zu dritten Ländern und internationalen Einrichtungen;</w:t>
      </w:r>
    </w:p>
    <w:p>
      <w:r>
        <w:t xml:space="preserve">— unbeschadet des Artikels 240 an der Vorbereitung der in Artikel 66, Artikel 75, Artikel 121 Absätze 2, 3, 4 und 6, Artikel 122, Artikel 124, Artikel 125, Artikel 126, Artikel 127 Absatz 6, Artikel 128 Absatz 2, Artikel 129 Absätze 3 und 4, Artikel 138, Artikel 140 Absätze 2 und 3, Artikel 143, Artikel 144 Absätze 2 und 3 und Artikel 219 genannten Arbeiten des Rates mitzuwirken und die sonstigen ihm vom Rat übertragenen Beratungsaufgaben und vorbereitenden Arbeiten auszuführen;</w:t>
      </w:r>
    </w:p>
    <w:p>
      <w:r>
        <w:t xml:space="preserve">— mindestens einmal jährlich die Lage hinsichtlich des Kapitalverkehrs und der Freiheit des Zahlungsverkehrs, wie sie sich aus der Anwendung der Verträge und der Maßnahmen des Rates ergeben, zu prüfen; die Prüfung erstreckt sich auf alle Maßnahmen im Zusammenhang mit dem Kapital- und Zahlungsverkehr; der Ausschuss erstattet der Kommission und dem Rat Bericht über das Ergebnis dieser Prüfung.</w:t>
      </w:r>
    </w:p>
    <w:p>
      <w:r>
        <w:t xml:space="preserve">Jeder Mitgliedstaat sowie die Kommission und die Europäische Zentralbank ernennen jeweils höchstens zwei Mitglieder des Ausschusses.</w:t>
      </w:r>
    </w:p>
    <w:p>
      <w:r>
        <w:t xml:space="preserve">(3) Der Rat legt auf Vorschlag der Kommission und nach Anhörung der Europäischen Zentralbank und des in diesem Artikel genannten Ausschusses im Einzelnen fest, wie sich der Wirtschafts- und Finanzausschuss zusammensetzt. Der Präsident des Rates unterrichtet das Europäische Parlament über diesen Beschluss.</w:t>
      </w:r>
    </w:p>
    <w:p>
      <w:r>
        <w:t xml:space="preserve">(4) Sofern und solange es Mitgliedstaaten gibt, für die eine Ausnahmeregelung nach Artikel 139 gilt, hat der Ausschuss zusätzlich zu den in Absatz 2 beschriebenen Aufgaben die Währungs- und Finanzlage sowie den allgemeinen Zahlungsverkehr der betreffenden Mitgliedstaaten zu beobachten und dem Rat und der Kommission regelmäßig darüber Bericht zu erstatten.</w:t>
      </w:r>
    </w:p>
    <w:p>
      <w:r>
        <w:rPr>
          <w:color w:val="555555"/>
          <w:sz w:val="17"/>
        </w:rPr>
        <w:t xml:space="preserve">Zitiervorschlag: Art 134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https://recht.nulegal.eu/gesetze/AEUV/134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