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133 AEUV</w:t>
      </w:r>
    </w:p>
    <w:p>
      <w:r>
        <w:rPr>
          <w:color w:val="555555"/>
          <w:sz w:val="18"/>
        </w:rPr>
        <w:t xml:space="preserve">AEUV</w:t>
      </w:r>
    </w:p>
    <w:p>
      <w:r>
        <w:rPr>
          <w:color w:val="555555"/>
          <w:sz w:val="18"/>
        </w:rPr>
        <w:t xml:space="preserve">Stand: 22.07.2026 (konsolidierte Textfassung, kein amtliches Inkrafttretensdatum)</w:t>
      </w:r>
    </w:p>
    <w:p>
      <w:r>
        <w:t xml:space="preserve">Unbeschadet der Befugnisse der Europäischen Zentralbank erlassen das Europäische Parlament und der Rat gemäß dem ordentlichen Gesetzgebungsverfahren die Maßnahmen, die für die Verwendung des Euro als einheitliche Währung erforderlich sind. Diese Maßnahmen werden nach Anhörung der Europäischen Zentralbank erlassen.</w:t>
      </w:r>
    </w:p>
    <w:p>
      <w:r>
        <w:rPr>
          <w:color w:val="555555"/>
          <w:sz w:val="17"/>
        </w:rPr>
        <w:t xml:space="preserve">Zitiervorschlag: Art 133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https://recht.nulegal.eu/gesetze/AEUV/133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