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130 AEUV — (ex-Artikel 108 EGV)</w:t>
      </w:r>
    </w:p>
    <w:p>
      <w:r>
        <w:rPr>
          <w:color w:val="555555"/>
          <w:sz w:val="18"/>
        </w:rPr>
        <w:t xml:space="preserve">AEUV</w:t>
      </w:r>
    </w:p>
    <w:p>
      <w:r>
        <w:rPr>
          <w:color w:val="555555"/>
          <w:sz w:val="18"/>
        </w:rPr>
        <w:t xml:space="preserve">Stand: 22.07.2026 (konsolidierte Textfassung, kein amtliches Inkrafttretensdatum)</w:t>
      </w:r>
    </w:p>
    <w:p>
      <w:r>
        <w:t xml:space="preserve">Bei der Wahrnehmung der ihnen durch die Verträge und die Satzung des ESZB und der EZB übertragenen Befugnisse, Aufgaben und Pflichten darf weder die Europäische Zentralbank noch eine nationale Zentralbank noch ein Mitglied ihrer Beschlussorgane Weisungen von Organen, Einrichtungen oder sonstigen Stellen der Union, Regierungen der Mitgliedstaaten oder anderen Stellen einholen oder entgegennehmen. Die Organe, Einrichtungen oder sonstigen Stellen der Union sowie die Regierungen der Mitgliedstaaten verpflichten sich, diesen Grundsatz zu beachten und nicht zu versuchen, die Mitglieder der Beschlussorgane der Europäischen Zentralbank oder der nationalen Zentralbanken bei der Wahrnehmung ihrer Aufgaben zu beeinflussen.</w:t>
      </w:r>
    </w:p>
    <w:p>
      <w:r>
        <w:rPr>
          <w:color w:val="555555"/>
          <w:sz w:val="17"/>
        </w:rPr>
        <w:t xml:space="preserve">Zitiervorschlag: Art 130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