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 AEUV</w:t>
      </w:r>
    </w:p>
    <w:p>
      <w:r>
        <w:rPr>
          <w:color w:val="555555"/>
          <w:sz w:val="18"/>
        </w:rPr>
        <w:t xml:space="preserve">AEUV</w:t>
      </w:r>
    </w:p>
    <w:p>
      <w:r>
        <w:rPr>
          <w:color w:val="555555"/>
          <w:sz w:val="18"/>
        </w:rPr>
        <w:t xml:space="preserve">Stand: 22.07.2026 (konsolidierte Textfassung, kein amtliches Inkrafttretensdatum)</w:t>
      </w:r>
    </w:p>
    <w:p>
      <w:r>
        <w:t xml:space="preserve">Bei der Festlegung und Durchführung der Politik der Union in den Bereichen Landwirtschaft, Fischerei, Verkehr, Binnenmarkt, Forschung, technologische Entwicklung und Raumfahrt tragen die Union und die Mitgliedstaaten den Erfordernissen des Wohlergehens der Tiere als fühlende Wesen in vollem Umfang Rechnung; sie berücksichtigen hierbei die Rechts- und Verwaltungsvorschriften und die Gepflogenheiten der Mitgliedstaaten insbesondere in Bezug auf religiöse Riten, kulturelle Traditionen und das regionale Erbe.</w:t>
      </w:r>
    </w:p>
    <w:p>
      <w:r>
        <w:rPr>
          <w:color w:val="555555"/>
          <w:sz w:val="17"/>
        </w:rPr>
        <w:t xml:space="preserve">Zitiervorschlag: Art 13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