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128 AEUV — (ex-Artikel 106 EGV)</w:t>
      </w:r>
    </w:p>
    <w:p>
      <w:r>
        <w:rPr>
          <w:color w:val="555555"/>
          <w:sz w:val="18"/>
        </w:rPr>
        <w:t xml:space="preserve">AEUV</w:t>
      </w:r>
    </w:p>
    <w:p>
      <w:r>
        <w:rPr>
          <w:color w:val="555555"/>
          <w:sz w:val="18"/>
        </w:rPr>
        <w:t xml:space="preserve">Stand: 22.07.2026 (konsolidierte Textfassung, kein amtliches Inkrafttretensdatum)</w:t>
      </w:r>
    </w:p>
    <w:p>
      <w:r>
        <w:t xml:space="preserve">(1) Die Europäische Zentralbank hat das ausschließliche Recht, die Ausgabe von Euro-Banknoten innerhalb der Union zu genehmigen. Die Europäische Zentralbank und die nationalen Zentralbanken sind zur Ausgabe dieser Banknoten berechtigt. Die von der Europäischen Zentralbank und den nationalen Zentralbanken ausgegebenen Banknoten sind die einzigen Banknoten, die in der Union als gesetzliches Zahlungsmittel gelten.</w:t>
      </w:r>
    </w:p>
    <w:p>
      <w:r>
        <w:t xml:space="preserve">(2) Die Mitgliedstaaten haben das Recht zur Ausgabe von Euro-Münzen, wobei der Umfang dieser Ausgabe der Genehmigung durch die Europäische Zentralbank bedarf. Der Rat kann auf Vorschlag der Kommission und nach Anhörung des Europäischen Parlaments und der Europäischen Zentralbank Maßnahmen erlassen, um die Stückelung und die technischen Merkmale aller für den Umlauf bestimmten Münzen so weit zu harmonisieren, wie dies für deren reibungslosen Umlauf innerhalb der Union erforderlich ist.</w:t>
      </w:r>
    </w:p>
    <w:p>
      <w:r>
        <w:rPr>
          <w:color w:val="555555"/>
          <w:sz w:val="17"/>
        </w:rPr>
        <w:t xml:space="preserve">Zitiervorschlag: Art 128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