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127 AEUV — (ex-Artikel 105 EGV)</w:t>
      </w:r>
    </w:p>
    <w:p>
      <w:r>
        <w:rPr>
          <w:color w:val="555555"/>
          <w:sz w:val="18"/>
        </w:rPr>
        <w:t xml:space="preserve">AEUV</w:t>
      </w:r>
    </w:p>
    <w:p>
      <w:r>
        <w:rPr>
          <w:color w:val="555555"/>
          <w:sz w:val="18"/>
        </w:rPr>
        <w:t xml:space="preserve">Stand: 22.07.2026 (konsolidierte Textfassung, kein amtliches Inkrafttretensdatum)</w:t>
      </w:r>
    </w:p>
    <w:p>
      <w:r>
        <w:t xml:space="preserve">(1) Das vorrangige Ziel des Europäischen Systems der Zentralbanken (im Folgenden "ESZB") ist es, die Preisstabilität zu gewährleisten. Soweit dies ohne Beeinträchtigung des Zieles der Preisstabilität möglich ist, unterstützt das ESZB die allgemeine Wirtschaftspolitik in der Union, um zur Verwirklichung der in Artikel 3 des Vertrags über die Europäische Union festgelegten Ziele der Union beizutragen. Das ESZB handelt im Einklang mit dem Grundsatz einer offenen Marktwirtschaft mit freiem Wettbewerb, wodurch ein effizienter Einsatz der Ressourcen gefördert wird, und hält sich dabei an die in Artikel 119 genannten Grundsätze.</w:t>
      </w:r>
    </w:p>
    <w:p>
      <w:r>
        <w:t xml:space="preserve">(2) Die grundlegenden Aufgaben des ESZB bestehen darin,</w:t>
      </w:r>
    </w:p>
    <w:p>
      <w:r>
        <w:t xml:space="preserve">— die Geldpolitik der Union festzulegen und auszuführen,</w:t>
      </w:r>
    </w:p>
    <w:p>
      <w:r>
        <w:t xml:space="preserve">— Devisengeschäfte im Einklang mit Artikel 219 durchzuführen,</w:t>
      </w:r>
    </w:p>
    <w:p>
      <w:r>
        <w:t xml:space="preserve">— die offiziellen Währungsreserven der Mitgliedstaaten zu halten und zu verwalten,</w:t>
      </w:r>
    </w:p>
    <w:p>
      <w:r>
        <w:t xml:space="preserve">— das reibungslose Funktionieren der Zahlungssysteme zu fördern.</w:t>
      </w:r>
    </w:p>
    <w:p>
      <w:r>
        <w:t xml:space="preserve">(3) Absatz 2 dritter Gedankenstrich berührt nicht die Haltung und Verwaltung von Arbeitsguthaben in Fremdwährungen durch die Regierungen der Mitgliedstaaten.</w:t>
      </w:r>
    </w:p>
    <w:p>
      <w:r>
        <w:t xml:space="preserve">(4) Die Europäische Zentralbank wird gehört</w:t>
      </w:r>
    </w:p>
    <w:p>
      <w:r>
        <w:t xml:space="preserve">— zu allen Vorschlägen für Rechtsakte der Union im Zuständigkeitsbereich der Europäischen Zentralbank,</w:t>
      </w:r>
    </w:p>
    <w:p>
      <w:r>
        <w:t xml:space="preserve">— von den nationalen Behörden zu allen Entwürfen für Rechtsvorschriften im Zuständigkeitsbereich der Europäischen Zentralbank, und zwar innerhalb der Grenzen und unter den Bedingungen, die der Rat nach dem Verfahren des Artikels 129 Absatz 4 festlegt.</w:t>
      </w:r>
    </w:p>
    <w:p>
      <w:r>
        <w:t xml:space="preserve">Die Europäische Zentralbank kann gegenüber den zuständigen Organen, Einrichtungen oder sonstigen Stellen der Union und gegenüber den nationalen Behörden Stellungnahmen zu in ihren Zuständigkeitsbereich fallenden Fragen abgeben.</w:t>
      </w:r>
    </w:p>
    <w:p>
      <w:r>
        <w:t xml:space="preserve">(5) Das ESZB trägt zur reibungslosen Durchführung der von den zuständigen Behörden auf dem Gebiet der Aufsicht über die Kreditinstitute und der Stabilität des Finanzsystems ergriffenen Maßnahmen bei.</w:t>
      </w:r>
    </w:p>
    <w:p>
      <w:r>
        <w:t xml:space="preserve">(6) Der Rat kann einstimmig durch Verordnungen gemäß einem besonderen Gesetzgebungsverfahren und nach Anhörung des Europäischen Parlaments und der Europäischen Zentralbank besondere Aufgaben im Zusammenhang mit der Aufsicht über Kreditinstitute und sonstige Finanzinstitute mit Ausnahme von Versicherungsunternehmen der Europäischen Zentralbank übertragen.</w:t>
      </w:r>
    </w:p>
    <w:p>
      <w:r>
        <w:rPr>
          <w:color w:val="555555"/>
          <w:sz w:val="17"/>
        </w:rPr>
        <w:t xml:space="preserve">Zitiervorschlag: Art 127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