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123 AEUV — (ex-Artikel 101 EGV)</w:t>
      </w:r>
    </w:p>
    <w:p>
      <w:r>
        <w:rPr>
          <w:color w:val="555555"/>
          <w:sz w:val="18"/>
        </w:rPr>
        <w:t xml:space="preserve">AEUV</w:t>
      </w:r>
    </w:p>
    <w:p>
      <w:r>
        <w:rPr>
          <w:color w:val="555555"/>
          <w:sz w:val="18"/>
        </w:rPr>
        <w:t xml:space="preserve">Stand: 22.07.2026 (konsolidierte Textfassung, kein amtliches Inkrafttretensdatum)</w:t>
      </w:r>
    </w:p>
    <w:p>
      <w:r>
        <w:t xml:space="preserve">(1) Überziehungs- oder andere Kreditfazilitäten bei der Europäischen Zentralbank oder den Zentralbanken der Mitgliedstaaten (im Folgenden als "nationale Zentralbanken" bezeichnet) für Organe, Einrichtungen oder sonstige Stellen der Union, Zentralregierungen, regionale oder lokale Gebietskörperschaften oder andere öffentlich-rechtliche Körperschaften, sonstige Einrichtungen des öffentlichen Rechts oder öffentliche Unternehmen der Mitgliedstaaten sind ebenso verboten wie der unmittelbare Erwerb von Schuldtiteln von diesen durch die Europäische Zentralbank oder die nationalen Zentralbanken.</w:t>
      </w:r>
    </w:p>
    <w:p>
      <w:r>
        <w:t xml:space="preserve">(2) Die Bestimmungen des Absatzes 1 gelten nicht für Kreditinstitute in öffentlichem Eigentum; diese werden von der jeweiligen nationalen Zentralbank und der Europäischen Zentralbank, was die Bereitstellung von Zentralbankgeld betrifft, wie private Kreditinstitute behandelt.</w:t>
      </w:r>
    </w:p>
    <w:p>
      <w:r>
        <w:rPr>
          <w:color w:val="555555"/>
          <w:sz w:val="17"/>
        </w:rPr>
        <w:t xml:space="preserve">Zitiervorschlag: Art 123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https://recht.nulegal.eu/gesetze/AEUV/123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