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119 AEUV — (ex-Artikel 4 EGV)</w:t>
      </w:r>
    </w:p>
    <w:p>
      <w:r>
        <w:rPr>
          <w:color w:val="555555"/>
          <w:sz w:val="18"/>
        </w:rPr>
        <w:t xml:space="preserve">AEUV</w:t>
      </w:r>
    </w:p>
    <w:p>
      <w:r>
        <w:rPr>
          <w:color w:val="555555"/>
          <w:sz w:val="18"/>
        </w:rPr>
        <w:t xml:space="preserve">Stand: 22.07.2026 (konsolidierte Textfassung, kein amtliches Inkrafttretensdatum)</w:t>
      </w:r>
    </w:p>
    <w:p>
      <w:r>
        <w:t xml:space="preserve">(1) Die Tätigkeit der Mitgliedstaaten und der Union im Sinne des Artikels 3 des Vertrags über die Europäische Union umfasst nach Maßgabe der Verträge die Einführung einer Wirtschaftspolitik, die auf einer engen Koordinierung der Wirtschaftspolitik der Mitgliedstaaten, dem Binnenmarkt und der Festlegung gemeinsamer Ziele beruht und dem Grundsatz einer offenen Marktwirtschaft mit freiem Wettbewerb verpflichtet ist.</w:t>
      </w:r>
    </w:p>
    <w:p>
      <w:r>
        <w:t xml:space="preserve">(2) Parallel dazu umfasst diese Tätigkeit nach Maßgabe der Verträge und der darin vorgesehenen Verfahren eine einheitliche Währung, den Euro, sowie die Festlegung und Durchführung einer einheitlichen Geld- sowie Wechselkurspolitik, die beide vorrangig das Ziel der Preisstabilität verfolgen und unbeschadet dieses Zieles die allgemeine Wirtschaftspolitik in der Union unter Beachtung des Grundsatzes einer offenen Marktwirtschaft mit freiem Wettbewerb unterstützen sollen.</w:t>
      </w:r>
    </w:p>
    <w:p>
      <w:r>
        <w:t xml:space="preserve">(3) Diese Tätigkeit der Mitgliedstaaten und der Union setzt die Einhaltung der folgenden richtungweisenden Grundsätze voraus: stabile Preise, gesunde öffentliche Finanzen und monetäre Rahmenbedingungen sowie eine tragfähige Zahlungsbilanz.</w:t>
      </w:r>
    </w:p>
    <w:p>
      <w:r>
        <w:rPr>
          <w:color w:val="555555"/>
          <w:sz w:val="17"/>
        </w:rPr>
        <w:t xml:space="preserve">Zitiervorschlag: Art 119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https://recht.nulegal.eu/gesetze/AEUV/119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