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116 AEUV — (ex-Artikel 96 EGV)</w:t>
      </w:r>
    </w:p>
    <w:p>
      <w:r>
        <w:rPr>
          <w:color w:val="555555"/>
          <w:sz w:val="18"/>
        </w:rPr>
        <w:t xml:space="preserve">AEUV</w:t>
      </w:r>
    </w:p>
    <w:p>
      <w:r>
        <w:rPr>
          <w:color w:val="555555"/>
          <w:sz w:val="18"/>
        </w:rPr>
        <w:t xml:space="preserve">Stand: 22.07.2026 (konsolidierte Textfassung, kein amtliches Inkrafttretensdatum)</w:t>
      </w:r>
    </w:p>
    <w:p>
      <w:r>
        <w:t xml:space="preserve">Stellt die Kommission fest, dass vorhandene Unterschiede in den Rechts- und Verwaltungsvorschriften der Mitgliedstaaten die Wettbewerbsbedingungen auf dem Binnenmarkt verfälschen und dadurch eine Verzerrung hervorrufen, die zu beseitigen ist, so tritt sie mit den betreffenden Mitgliedstaaten in Beratungen ein.</w:t>
      </w:r>
    </w:p>
    <w:p>
      <w:r>
        <w:t xml:space="preserve">Führen diese Beratungen nicht zur Beseitigung dieser Verzerrung, so erlassen das Europäische Parlament und der Rat gemäß dem ordentlichen Gesetzgebungsverfahren die erforderlichen Richtlinien. Es können alle sonstigen in den Verträgen vorgesehenen zweckdienlichen Maßnahmen erlassen werden.</w:t>
      </w:r>
    </w:p>
    <w:p>
      <w:r>
        <w:rPr>
          <w:color w:val="555555"/>
          <w:sz w:val="17"/>
        </w:rPr>
        <w:t xml:space="preserve">Zitiervorschlag: Art 116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https://recht.nulegal.eu/gesetze/AEUV/116</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