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115 AEUV — (ex-Artikel 94 EGV)</w:t>
      </w:r>
    </w:p>
    <w:p>
      <w:r>
        <w:rPr>
          <w:color w:val="555555"/>
          <w:sz w:val="18"/>
        </w:rPr>
        <w:t xml:space="preserve">AEUV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Unbeschadet des Artikels 114 erlässt der Rat gemäß einem besonderen Gesetzgebungsverfahren einstimmig und nach Anhörung des Europäischen Parlaments und des Wirtschafts- und Sozialausschusses Richtlinien für die Angleichung derjenigen Rechts- und Verwaltungsvorschriften der Mitgliedstaaten, die sich unmittelbar auf die Errichtung oder das Funktionieren des Binnenmarkts auswirken.</w:t>
      </w:r>
    </w:p>
    <w:p>
      <w:r>
        <w:rPr>
          <w:color w:val="555555"/>
          <w:sz w:val="17"/>
        </w:rPr>
        <w:t xml:space="preserve">Zitiervorschlag: Art 115 AEUV</w:t>
      </w:r>
    </w:p>
    <w:p>
      <w:r>
        <w:rPr>
          <w:color w:val="555555"/>
          <w:sz w:val="17"/>
        </w:rPr>
        <w:t xml:space="preserve">Quelle: EUR-Lex, abgerufen 22.07.2026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https://recht.nulegal.eu/gesetze/AEUV/115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