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114 AEUV — (ex-Artikel 95 EGV)</w:t>
      </w:r>
    </w:p>
    <w:p>
      <w:r>
        <w:rPr>
          <w:color w:val="555555"/>
          <w:sz w:val="18"/>
        </w:rPr>
        <w:t xml:space="preserve">AEUV</w:t>
      </w:r>
    </w:p>
    <w:p>
      <w:r>
        <w:rPr>
          <w:color w:val="555555"/>
          <w:sz w:val="18"/>
        </w:rPr>
        <w:t xml:space="preserve">Stand: 22.07.2026 (konsolidierte Textfassung, kein amtliches Inkrafttretensdatum)</w:t>
      </w:r>
    </w:p>
    <w:p>
      <w:r>
        <w:t xml:space="preserve">(1) Soweit in den Verträgen nichts anderes bestimmt ist, gilt für die Verwirklichung der Ziele des Artikels 26 die nachstehende Regelung. Das Europäische Parlament und der Rat erlassen gemäß dem ordentlichen Gesetzgebungsverfahren und nach Anhörung des Wirtschafts- und Sozialausschusses die Maßnahmen zur Angleichung der Rechts- und Verwaltungsvorschriften der Mitgliedstaaten, welche die Errichtung und das Funktionieren des Binnenmarkts zum Gegenstand haben.</w:t>
      </w:r>
    </w:p>
    <w:p>
      <w:r>
        <w:t xml:space="preserve">(2) Absatz 1 gilt nicht für die Bestimmungen über die Steuern, die Bestimmungen über die Freizügigkeit und die Bestimmungen über die Rechte und Interessen der Arbeitnehmer.</w:t>
      </w:r>
    </w:p>
    <w:p>
      <w:r>
        <w:t xml:space="preserve">(3) Die Kommission geht in ihren Vorschlägen nach Absatz 1 in den Bereichen Gesundheit, Sicherheit, Umweltschutz und Verbraucherschutz von einem hohen Schutzniveau aus und berücksichtigt dabei insbesondere alle auf wissenschaftliche Ergebnisse gestützten neuen Entwicklungen. Im Rahmen ihrer jeweiligen Befugnisse streben das Europäische Parlament und der Rat dieses Ziel ebenfalls an.</w:t>
      </w:r>
    </w:p>
    <w:p>
      <w:r>
        <w:t xml:space="preserve">(4) Hält es ein Mitgliedstaat nach dem Erlass einer Harmonisierungsmaßnahme durch das Europäische Parlament und den Rat beziehungsweise durch den Rat oder die Kommission für erforderlich, einzelstaatliche Bestimmungen beizubehalten, die durch wichtige Erfordernisse im Sinne des Artikels 36 oder in Bezug auf den Schutz der Arbeitsumwelt oder den Umweltschutz gerechtfertigt sind, so teilt er diese Bestimmungen sowie die Gründe für ihre Beibehaltung der Kommission mit.</w:t>
      </w:r>
    </w:p>
    <w:p>
      <w:r>
        <w:t xml:space="preserve">(5) Unbeschadet des Absatzes 4 teilt ferner ein Mitgliedstaat, der es nach dem Erlass einer Harmonisierungsmaßnahme durch das Europäische Parlament und den Rat beziehungsweise durch den Rat oder die Kommission für erforderlich hält, auf neue wissenschaftliche Erkenntnisse gestützte einzelstaatliche Bestimmungen zum Schutz der Umwelt oder der Arbeitsumwelt aufgrund eines spezifischen Problems für diesen Mitgliedstaat, das sich nach dem Erlass der Harmonisierungsmaßnahme ergibt, einzuführen, die in Aussicht genommenen Bestimmungen sowie die Gründe für ihre Einführung der Kommission mit.</w:t>
      </w:r>
    </w:p>
    <w:p>
      <w:r>
        <w:t xml:space="preserve">(6) Die Kommission beschließt binnen sechs Monaten nach den Mitteilungen nach den Absätzen 4 und 5, die betreffenden einzelstaatlichen Bestimmungen zu billigen oder abzulehnen, nachdem sie geprüft hat, ob sie ein Mittel zur willkürlichen Diskriminierung und eine verschleierte Beschränkung des Handels zwischen den Mitgliedstaaten darstellen und ob sie das Funktionieren des Binnenmarkts behindern.</w:t>
      </w:r>
    </w:p>
    <w:p>
      <w:r>
        <w:t xml:space="preserve">Erlässt die Kommission innerhalb dieses Zeitraums keinen Beschluss, so gelten die in den Absätzen 4 und 5 genannten einzelstaatlichen Bestimmungen als gebilligt.</w:t>
      </w:r>
    </w:p>
    <w:p>
      <w:r>
        <w:t xml:space="preserve">Die Kommission kann, sofern dies aufgrund des schwierigen Sachverhalts gerechtfertigt ist und keine Gefahr für die menschliche Gesundheit besteht, dem betreffenden Mitgliedstaat mitteilen, dass der in diesem Absatz genannte Zeitraum gegebenenfalls um einen weiteren Zeitraum von bis zu sechs Monaten verlängert wird.</w:t>
      </w:r>
    </w:p>
    <w:p>
      <w:r>
        <w:t xml:space="preserve">(7) Wird es einem Mitgliedstaat nach Absatz 6 gestattet, von der Harmonisierungsmaßnahme abweichende einzelstaatliche Bestimmungen beizubehalten oder einzuführen, so prüft die Kommission unverzüglich, ob sie eine Anpassung dieser Maßnahme vorschlägt.</w:t>
      </w:r>
    </w:p>
    <w:p>
      <w:r>
        <w:t xml:space="preserve">(8) Wirft ein Mitgliedstaat in einem Bereich, der zuvor bereits Gegenstand von Harmonisierungsmaßnahmen war, ein spezielles Gesundheitsproblem auf, so teilt er dies der Kommission mit, die dann umgehend prüft, ob sie dem Rat entsprechende Maßnahmen vorschlägt.</w:t>
      </w:r>
    </w:p>
    <w:p>
      <w:r>
        <w:t xml:space="preserve">(9) In Abweichung von dem Verfahren der Artikel 258 und 259 kann die Kommission oder ein Mitgliedstaat den Gerichtshof der Europäischen Union unmittelbar anrufen, wenn die Kommission oder der Staat der Auffassung ist, dass ein anderer Mitgliedstaat die in diesem Artikel vorgesehenen Befugnisse missbraucht.</w:t>
      </w:r>
    </w:p>
    <w:p>
      <w:r>
        <w:t xml:space="preserve">(10) Die vorgenannten Harmonisierungsmaßnahmen sind in geeigneten Fällen mit einer Schutzklausel verbunden, welche die Mitgliedstaaten ermächtigt, aus einem oder mehreren der in Artikel 36 genannten nicht wirtschaftlichen Gründe vorläufige Maßnahmen zu treffen, die einem Kontrollverfahren der Union unterliegen.</w:t>
      </w:r>
    </w:p>
    <w:p>
      <w:r>
        <w:rPr>
          <w:color w:val="555555"/>
          <w:sz w:val="17"/>
        </w:rPr>
        <w:t xml:space="preserve">Zitiervorschlag: Art 114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