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112 AEUV — (ex-Artikel 92 EGV)</w:t>
      </w:r>
    </w:p>
    <w:p>
      <w:r>
        <w:rPr>
          <w:color w:val="555555"/>
          <w:sz w:val="18"/>
        </w:rPr>
        <w:t xml:space="preserve">AEUV</w:t>
      </w:r>
    </w:p>
    <w:p>
      <w:r>
        <w:rPr>
          <w:color w:val="555555"/>
          <w:sz w:val="18"/>
        </w:rPr>
        <w:t xml:space="preserve">Stand: 22.07.2026 (konsolidierte Textfassung, kein amtliches Inkrafttretensdatum)</w:t>
      </w:r>
    </w:p>
    <w:p>
      <w:r>
        <w:t xml:space="preserve">Für Abgaben außer Umsatzsteuern, Verbrauchsabgaben und sonstigen indirekten Steuern sind Entlastungen und Rückvergütungen bei der Ausfuhr nach anderen Mitgliedstaaten sowie Ausgleichsabgaben bei der Einfuhr aus den Mitgliedstaaten nur zulässig, soweit der Rat sie vorher auf Vorschlag der Kommission für eine begrenzte Frist genehmigt hat.</w:t>
      </w:r>
    </w:p>
    <w:p>
      <w:r>
        <w:rPr>
          <w:color w:val="555555"/>
          <w:sz w:val="17"/>
        </w:rPr>
        <w:t xml:space="preserve">Zitiervorschlag: Art 112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https://recht.nulegal.eu/gesetze/AEUV/112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