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109 AEUV — (ex-Artikel 89 EGV)</w:t>
      </w:r>
    </w:p>
    <w:p>
      <w:r>
        <w:rPr>
          <w:color w:val="555555"/>
          <w:sz w:val="18"/>
        </w:rPr>
        <w:t xml:space="preserve">AEUV</w:t>
      </w:r>
    </w:p>
    <w:p>
      <w:r>
        <w:rPr>
          <w:color w:val="555555"/>
          <w:sz w:val="18"/>
        </w:rPr>
        <w:t xml:space="preserve">Stand: 22.07.2026 (konsolidierte Textfassung, kein amtliches Inkrafttretensdatum)</w:t>
      </w:r>
    </w:p>
    <w:p>
      <w:r>
        <w:t xml:space="preserve">Der Rat kann auf Vorschlag der Kommission und nach Anhörung des Europäischen Parlaments alle zweckdienlichen Durchführungsverordnungen zu den Artikeln 107 und 108 erlassen und insbesondere die Bedingungen für die Anwendung des Artikels 108 Absatz 3 sowie diejenigen Arten von Beihilfen festlegen, die von diesem Verfahren ausgenommen sind.</w:t>
      </w:r>
    </w:p>
    <w:p>
      <w:r>
        <w:rPr>
          <w:color w:val="555555"/>
          <w:sz w:val="17"/>
        </w:rPr>
        <w:t xml:space="preserve">Zitiervorschlag: Art 109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