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105 AEUV — (ex-Artikel 85 EGV)</w:t>
      </w:r>
    </w:p>
    <w:p>
      <w:r>
        <w:rPr>
          <w:color w:val="555555"/>
          <w:sz w:val="18"/>
        </w:rPr>
        <w:t xml:space="preserve">AEUV</w:t>
      </w:r>
    </w:p>
    <w:p>
      <w:r>
        <w:rPr>
          <w:color w:val="555555"/>
          <w:sz w:val="18"/>
        </w:rPr>
        <w:t xml:space="preserve">Stand: 22.07.2026 (konsolidierte Textfassung, kein amtliches Inkrafttretensdatum)</w:t>
      </w:r>
    </w:p>
    <w:p>
      <w:r>
        <w:t xml:space="preserve">(1) Unbeschadet des Artikels 104 achtet die Kommission auf die Verwirklichung der in den Artikeln 101 und 102 niedergelegten Grundsätze. Sie untersucht auf Antrag eines Mitgliedstaats oder von Amts wegen in Verbindung mit den zuständigen Behörden der Mitgliedstaaten, die ihr Amtshilfe zu leisten haben, die Fälle, in denen Zuwiderhandlungen gegen diese Grundsätze vermutet werden. Stellt sie eine Zuwiderhandlung fest, so schlägt sie geeignete Mittel vor, um diese abzustellen.</w:t>
      </w:r>
    </w:p>
    <w:p>
      <w:r>
        <w:t xml:space="preserve">(2) Wird die Zuwiderhandlung nicht abgestellt, so trifft die Kommission in einem mit Gründen versehenen Beschluss die Feststellung, dass eine derartige Zuwiderhandlung vorliegt. Sie kann den Beschluss veröffentlichen und die Mitgliedstaaten ermächtigen, die erforderlichen Abhilfemaßnahmen zu treffen, deren Bedingungen und Einzelheiten sie festlegt.</w:t>
      </w:r>
    </w:p>
    <w:p>
      <w:r>
        <w:t xml:space="preserve">(3) Die Kommission kann Verordnungen zu den Gruppen von Vereinbarungen erlassen, zu denen der Rat nach Artikel 103 Absatz 2 Buchstabe b eine Verordnung oder Richtlinie erlassen hat.</w:t>
      </w:r>
    </w:p>
    <w:p>
      <w:r>
        <w:rPr>
          <w:color w:val="555555"/>
          <w:sz w:val="17"/>
        </w:rPr>
        <w:t xml:space="preserve">Zitiervorschlag: Art 105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https://recht.nulegal.eu/gesetze/AEUV/105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