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104 AEUV — (ex-Artikel 84 EGV)</w:t>
      </w:r>
    </w:p>
    <w:p>
      <w:r>
        <w:rPr>
          <w:color w:val="555555"/>
          <w:sz w:val="18"/>
        </w:rPr>
        <w:t xml:space="preserve">AEUV</w:t>
      </w:r>
    </w:p>
    <w:p>
      <w:r>
        <w:rPr>
          <w:color w:val="555555"/>
          <w:sz w:val="18"/>
        </w:rPr>
        <w:t xml:space="preserve">Stand: 22.07.2026 (konsolidierte Textfassung, kein amtliches Inkrafttretensdatum)</w:t>
      </w:r>
    </w:p>
    <w:p>
      <w:r>
        <w:t xml:space="preserve">Bis zum Inkrafttreten der gemäß Artikel 103 erlassenen Vorschriften entscheiden die Behörden der Mitgliedstaaten im Einklang mit ihren eigenen Rechtsvorschriften und den Bestimmungen der Artikel 101, insbesondere Absatz 3, und 102 über die Zulässigkeit von Vereinbarungen, Beschlüssen und aufeinander abgestimmten Verhaltensweisen sowie über die missbräuchliche Ausnutzung einer beherrschenden Stellung auf dem Binnenmarkt.</w:t>
      </w:r>
    </w:p>
    <w:p>
      <w:r>
        <w:rPr>
          <w:color w:val="555555"/>
          <w:sz w:val="17"/>
        </w:rPr>
        <w:t xml:space="preserve">Zitiervorschlag: Art 104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