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103 AEUV — (ex-Artikel 83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zweckdienlichen Verordnungen oder Richtlinien zur Verwirklichung der in den Artikeln 101 und 102 niedergelegten Grundsätze werden vom Rat auf Vorschlag der Kommission und nach Anhörung des Europäischen Parlaments beschlossen.</w:t>
      </w:r>
    </w:p>
    <w:p>
      <w:r>
        <w:t xml:space="preserve">(2) Die in Absatz 1 vorgesehenen Vorschriften bezwecken insbesondere,</w:t>
      </w:r>
    </w:p>
    <w:p>
      <w:r>
        <w:t xml:space="preserve">a) die Beachtung der in Artikel 101 Absatz 1 und Artikel 102 genannten Verbote durch die Einführung von Geldbußen und Zwangsgeldern zu gewährleisten;</w:t>
      </w:r>
    </w:p>
    <w:p>
      <w:r>
        <w:t xml:space="preserve">b) die Einzelheiten der Anwendung des Artikels 101 Absatz 3 festzulegen; dabei ist dem Erfordernis einer wirksamen Überwachung bei möglichst einfacher Verwaltungskontrolle Rechnung zu tragen;</w:t>
      </w:r>
    </w:p>
    <w:p>
      <w:r>
        <w:t xml:space="preserve">c) gegebenenfalls den Anwendungsbereich der Artikel 101 und 102 für die einzelnen Wirtschaftszweige näher zu bestimmen;</w:t>
      </w:r>
    </w:p>
    <w:p>
      <w:r>
        <w:t xml:space="preserve">d) die Aufgaben der Kommission und des Gerichtshofs der Europäischen Union bei der Anwendung der in diesem Absatz vorgesehenen Vorschriften gegeneinander abzugrenzen;</w:t>
      </w:r>
    </w:p>
    <w:p>
      <w:r>
        <w:t xml:space="preserve">e) das Verhältnis zwischen den innerstaatlichen Rechtsvorschriften einerseits und den in diesem Abschnitt enthaltenen oder aufgrund dieses Artikels getroffenen Bestimmungen andererseits festzulegen.</w:t>
      </w:r>
    </w:p>
    <w:p>
      <w:r>
        <w:rPr>
          <w:color w:val="555555"/>
          <w:sz w:val="17"/>
        </w:rPr>
        <w:t xml:space="preserve">Zitiervorschlag: Art 103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https://recht.nulegal.eu/gesetze/AEUV/103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