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AEUV — (ex-Artikel 81 EGV)</w:t>
      </w:r>
    </w:p>
    <w:p>
      <w:r>
        <w:rPr>
          <w:color w:val="555555"/>
          <w:sz w:val="18"/>
        </w:rPr>
        <w:t xml:space="preserve">AEUV</w:t>
      </w:r>
    </w:p>
    <w:p>
      <w:r>
        <w:rPr>
          <w:color w:val="555555"/>
          <w:sz w:val="18"/>
        </w:rPr>
        <w:t xml:space="preserve">Stand: 22.07.2026 (konsolidierte Textfassung, kein amtliches Inkrafttretensdatum)</w:t>
      </w:r>
    </w:p>
    <w:p>
      <w:r>
        <w:t xml:space="preserve">(1) Mit dem Binnenmarkt unvereinbar und verboten sind alle Vereinbarungen zwischen Unternehmen, Beschlüsse von Unternehmensvereinigungen und aufeinander abgestimmte Verhaltensweisen, welche den Handel zwischen Mitgliedstaaten zu beeinträchtigen geeignet sind und eine Verhinderung, Einschränkung oder Verfälschung des Wettbewerbs innerhalb des Binnenmarkts bezwecken oder bewirken, insbesondere</w:t>
      </w:r>
    </w:p>
    <w:p>
      <w:r>
        <w:t xml:space="preserve">a) die unmittelbare oder mittelbare Festsetzung der An- oder Verkaufspreise oder sonstiger Geschäftsbedingungen;</w:t>
      </w:r>
    </w:p>
    <w:p>
      <w:r>
        <w:t xml:space="preserve">b) die Einschränkung oder Kontrolle der Erzeugung, des Absatzes, der technischen Entwicklung oder der Investitionen;</w:t>
      </w:r>
    </w:p>
    <w:p>
      <w:r>
        <w:t xml:space="preserve">c) die Aufteilung der Märkte oder Versorgungsquellen;</w:t>
      </w:r>
    </w:p>
    <w:p>
      <w:r>
        <w:t xml:space="preserve">d) die Anwendung unterschiedlicher Bedingungen bei gleichwertigen Leistungen gegenüber Handelspartnern, wodurch diese im Wettbewerb benachteiligt werden;</w:t>
      </w:r>
    </w:p>
    <w:p>
      <w:r>
        <w:t xml:space="preserve">e) die an den Abschluss von Verträgen geknüpfte Bedingung, dass die Vertragspartner zusätzliche Leistungen annehmen, die weder sachlich noch nach Handelsbrauch in Beziehung zum Vertragsgegenstand stehen.</w:t>
      </w:r>
    </w:p>
    <w:p>
      <w:r>
        <w:t xml:space="preserve">(2) Die nach diesem Artikel verbotenen Vereinbarungen oder Beschlüsse sind nichtig.</w:t>
      </w:r>
    </w:p>
    <w:p>
      <w:r>
        <w:t xml:space="preserve">(3) Die Bestimmungen des Absatzes 1 können für nicht anwendbar erklärt werden auf</w:t>
      </w:r>
    </w:p>
    <w:p>
      <w:r>
        <w:t xml:space="preserve">— Vereinbarungen oder Gruppen von Vereinbarungen zwischen Unternehmen,</w:t>
      </w:r>
    </w:p>
    <w:p>
      <w:r>
        <w:t xml:space="preserve">— Beschlüsse oder Gruppen von Beschlüssen von Unternehmensvereinigungen,</w:t>
      </w:r>
    </w:p>
    <w:p>
      <w:r>
        <w:t xml:space="preserve">— aufeinander abgestimmte Verhaltensweisen oder Gruppen von solchen,</w:t>
      </w:r>
    </w:p>
    <w:p>
      <w:r>
        <w:t xml:space="preserve">die unter angemessener Beteiligung der Verbraucher an dem entstehenden Gewinn zur Verbesserung der Warenerzeugung oder -verteilung oder zur Förderung des technischen oder wirtschaftlichen Fortschritts beitragen, ohne dass den beteiligten Unternehmen</w:t>
      </w:r>
    </w:p>
    <w:p>
      <w:r>
        <w:t xml:space="preserve">a) Beschränkungen auferlegt werden, die für die Verwirklichung dieser Ziele nicht unerlässlich sind, oder</w:t>
      </w:r>
    </w:p>
    <w:p>
      <w:r>
        <w:t xml:space="preserve">b) Möglichkeiten eröffnet werden, für einen wesentlichen Teil der betreffenden Waren den Wettbewerb auszuschalten.</w:t>
      </w:r>
    </w:p>
    <w:p>
      <w:r>
        <w:rPr>
          <w:color w:val="555555"/>
          <w:sz w:val="17"/>
        </w:rPr>
        <w:t xml:space="preserve">Zitiervorschlag: Art 101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