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100 AEUV — (ex-Artikel 80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Dieser Titel gilt für die Beförderungen im Eisenbahn-, Straßen- und Binnenschiffsverkehr.</w:t>
      </w:r>
    </w:p>
    <w:p>
      <w:r>
        <w:t xml:space="preserve">(2) Das Europäische Parlament und der Rat können gemäß dem ordentlichen Gesetzgebungsverfahren geeignete Vorschriften für die Seeschifffahrt und die Luftfahrt erlassen. Sie beschließen nach Anhörung des Wirtschafts- und Sozialausschusses und des Ausschusses der Regionen.</w:t>
      </w:r>
    </w:p>
    <w:p>
      <w:r>
        <w:rPr>
          <w:color w:val="555555"/>
          <w:sz w:val="17"/>
        </w:rPr>
        <w:t xml:space="preserve">Zitiervorschlag: Art 100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