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10 AEUV</w:t>
      </w:r>
    </w:p>
    <w:p>
      <w:r>
        <w:rPr>
          <w:color w:val="555555"/>
          <w:sz w:val="18"/>
        </w:rPr>
        <w:t xml:space="preserve">AEUV</w:t>
      </w:r>
    </w:p>
    <w:p>
      <w:r>
        <w:rPr>
          <w:color w:val="555555"/>
          <w:sz w:val="18"/>
        </w:rPr>
        <w:t xml:space="preserve">Stand: 22.07.2026 (konsolidierte Textfassung, kein amtliches Inkrafttretensdatum)</w:t>
      </w:r>
    </w:p>
    <w:p>
      <w:r>
        <w:t xml:space="preserve">Bei der Festlegung und Durchführung ihrer Politik und ihrer Maßnahmen zielt die Union darauf ab, Diskriminierungen aus Gründen des Geschlechts, der Rasse, der ethnischen Herkunft, der Religion oder der Weltanschauung, einer Behinderung, des Alters oder der sexuellen Ausrichtung zu bekämpfen.</w:t>
      </w:r>
    </w:p>
    <w:p>
      <w:r>
        <w:rPr>
          <w:color w:val="555555"/>
          <w:sz w:val="17"/>
        </w:rPr>
        <w:t xml:space="preserve">Zitiervorschlag: Art 10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