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AELV 2021 — Inkrafttreten</w:t>
      </w:r>
    </w:p>
    <w:p>
      <w:r>
        <w:rPr>
          <w:color w:val="555555"/>
          <w:sz w:val="18"/>
        </w:rPr>
        <w:t xml:space="preserve">Arbeitseinkommenverordnung Landwirtschaft 2021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</w:t>
      </w:r>
    </w:p>
    <w:p>
      <w:r>
        <w:rPr>
          <w:color w:val="555555"/>
          <w:sz w:val="17"/>
        </w:rPr>
        <w:t xml:space="preserve">Zitiervorschlag: § 2 AELV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https://recht.nulegal.eu/gesetze/AELV%202021/2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