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AELV 2020 — Inkrafttreten</w:t>
      </w:r>
    </w:p>
    <w:p>
      <w:r>
        <w:rPr>
          <w:color w:val="555555"/>
          <w:sz w:val="18"/>
        </w:rPr>
        <w:t xml:space="preserve">Arbeitseinkommenverordnung Landwirtschaft 2020</w:t>
      </w:r>
    </w:p>
    <w:p>
      <w:r>
        <w:rPr>
          <w:color w:val="555555"/>
          <w:sz w:val="18"/>
        </w:rPr>
        <w:t xml:space="preserve">Stand: 10.12.2019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2 AELV 2020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https://recht.nulegal.eu/gesetze/AELV%202020/2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