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AELV 2019 — Inkrafttreten</w:t>
      </w:r>
    </w:p>
    <w:p>
      <w:r>
        <w:rPr>
          <w:color w:val="555555"/>
          <w:sz w:val="18"/>
        </w:rPr>
        <w:t xml:space="preserve">Arbeitseinkommenverordnung Landwirtschaft 2019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AELV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https://recht.nulegal.eu/gesetze/AELV%202019/2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