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AELV 2016</w:t>
      </w:r>
    </w:p>
    <w:p>
      <w:r>
        <w:rPr>
          <w:color w:val="555555"/>
          <w:sz w:val="18"/>
        </w:rPr>
        <w:t xml:space="preserve">Arbeitseinkommenverordnung Landwirtschaft 2016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35 des Gesetzes über die Alterssicherung der Landwirte, der zuletzt durch Artikel 17 Nummer 14 des Gesetzes vom 20. April 2007 (BGBl. I S. 554) geändert worden ist, in Verbindung mit § 1 Absatz 2 des Zuständigkeitsanpassungsgesetzes vom 16. August 2002 (BGBl. I S. 3165) und dem Organisationserlass vom 17. Dezember 2013 (BGBl. I S. 4310) verordnet das Bundesministerium für Arbeit und Soziales im Einvernehmen mit dem Bundesministerium für Ernährung und Landwirtschaft:</w:t>
      </w:r>
    </w:p>
    <w:p>
      <w:r>
        <w:rPr>
          <w:color w:val="555555"/>
          <w:sz w:val="17"/>
        </w:rPr>
        <w:t xml:space="preserve">Zitiervorschlag: Eingangsformel AELV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https://recht.nulegal.eu/gesetze/AELV%202016/eingangsformel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