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2016 — Ermittlung des Arbeitseinkommens</w:t>
      </w:r>
    </w:p>
    <w:p>
      <w:r>
        <w:rPr>
          <w:color w:val="555555"/>
          <w:sz w:val="18"/>
        </w:rPr>
        <w:t xml:space="preserve">Arbeitseinkommenverordnung Landwirtschaft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für die Gewährung von Beitragszuschüssen für das Jahr 2016 maßgebende Arbeitseinkommen aus Land- und Forstwirtschaft wird auf der Grundlage von Beziehungswerten ermittelt, die sich ergeben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1).</w:t>
      </w:r>
    </w:p>
    <w:p>
      <w:r>
        <w:t xml:space="preserve">(2) Das Arbeitseinkommen aus Land- und Forstwirtschaft ergibt sich, indem der Wirtschaftswert des Unternehmens, der nach § 32 Absatz 6 Satz 5 des Gesetzes über die Alterssicherung der Landwirte zugrunde zu legen ist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Wirtschaftswert, der nicht in den Anlagen 1 und 2 aufgeführt wird und der nicht unter Absatz 3 fällt,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34 000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34 000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0,2140fache des Wirtschaftswerts. Für Unternehmen der Gruppe 2 mit einem Wirtschaftswert über 500 000 Deutsche Mark beträgt das Arbeitseinkommen das 0,1900fache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https://recht.nulegal.eu/gesetze/AELV%202016/1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