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AELFV (Bayern)</w:t>
      </w:r>
    </w:p>
    <w:p>
      <w:r>
        <w:rPr>
          <w:color w:val="555555"/>
          <w:sz w:val="18"/>
        </w:rPr>
        <w:t xml:space="preserve">Ämterverordnung-LM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1 der Verordnung über die Einrichtung der staatlichen Behörden (BayRS 200-1-S) erlässt das Bayerische Staatsministerium für Landwirtschaft und Forsten folgende Verordnung:</w:t>
      </w:r>
    </w:p>
    <w:p>
      <w:r>
        <w:rPr>
          <w:color w:val="555555"/>
          <w:sz w:val="17"/>
        </w:rPr>
        <w:t xml:space="preserve">Zitiervorschlag: Eingangsformel AELFV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