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AELFV (Bayern) — Inkrafttreten</w:t>
      </w:r>
    </w:p>
    <w:p>
      <w:r>
        <w:rPr>
          <w:color w:val="555555"/>
          <w:sz w:val="18"/>
        </w:rPr>
        <w:t xml:space="preserve">Ämterverordnung-LM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Juli 2005 in Kraft.</w:t>
      </w:r>
    </w:p>
    <w:p>
      <w:r>
        <w:rPr>
          <w:color w:val="555555"/>
          <w:sz w:val="17"/>
        </w:rPr>
        <w:t xml:space="preserve">Zitiervorschlag: § 4 AELFV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https://recht.nulegal.eu/gesetze/AELFV/4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