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AELFV (Bayern) — Ämter</w:t>
      </w:r>
    </w:p>
    <w:p>
      <w:r>
        <w:rPr>
          <w:color w:val="555555"/>
          <w:sz w:val="18"/>
        </w:rPr>
        <w:t xml:space="preserve">Ämterverordnung-LM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Geschäftsbereich des Staatsministeriums für Ernährung, Landwirtschaft, Forsten und Tourismus (Staatsministerium) werden die Ämter für Ernährung, Landwirtschaft und Forsten (Ämter) errichtet.</w:t>
      </w:r>
    </w:p>
    <w:p>
      <w:r>
        <w:t xml:space="preserve">(2) Name, Sitz und Zuständigkeitsbereich der Ämter sind in Anlage 1 festgelegt.</w:t>
      </w:r>
    </w:p>
    <w:p>
      <w:r>
        <w:rPr>
          <w:color w:val="555555"/>
          <w:sz w:val="17"/>
        </w:rPr>
        <w:t xml:space="preserve">Zitiervorschlag: § 1 AELFV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https://recht.nulegal.eu/gesetze/AELFV/1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