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AEGKostenZustV (Bayern)</w:t>
      </w:r>
    </w:p>
    <w:p>
      <w:r>
        <w:rPr>
          <w:color w:val="555555"/>
          <w:sz w:val="18"/>
        </w:rPr>
        <w:t xml:space="preserve">Eisenbahnausgleichsverordnung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§ 6a Abs. 2 Satz 2 und Abs. 3 Satz 1 Allgemeines Eisenbahngesetz (BGBl III 930–1), zuletzt geändert durch Art. 24 des Gesetzes vom 3. Mai 2000 (BGBl I S. 632), erlässt die Bayerische Staatsregierung folgende Verordnung:</w:t>
      </w:r>
    </w:p>
    <w:p>
      <w:r>
        <w:rPr>
          <w:color w:val="555555"/>
          <w:sz w:val="17"/>
        </w:rPr>
        <w:t xml:space="preserve">Zitiervorschlag: Eingangsformel AEGKostenZustV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https://recht.nulegal.eu/gesetze/AEGKostenZustV/eingangsformel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