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AEGKostenZustV (Bayern)</w:t>
      </w:r>
    </w:p>
    <w:p>
      <w:r>
        <w:rPr>
          <w:color w:val="555555"/>
          <w:sz w:val="18"/>
        </w:rPr>
        <w:t xml:space="preserve">Eisenbahnausgleichsverordnung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2002 in Kraft. Abweichend von Satz 1 tritt § 2 mit Wirkung vom 11. Mai 2000 in Kraft. Mit Ablauf des 31. Dezember 2001 tritt die Verordnung über Kostensätze für Ausgleichszahlungen nach § 6a des Allgemeinen Eisenbahngesetzes (AEGKostenV) vom 25. Oktober 1984 (GVBl S. 443, BayRS 930–2–W) außer Kraft.</w:t>
      </w:r>
    </w:p>
    <w:p>
      <w:r>
        <w:rPr>
          <w:color w:val="555555"/>
          <w:sz w:val="17"/>
        </w:rPr>
        <w:t xml:space="preserve">Zitiervorschlag: § 3 AEGKostenZustV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https://recht.nulegal.eu/gesetze/AEGKostenZustV/3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AEGKostenZustV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