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AEGKostenZustV (Bayern)</w:t>
      </w:r>
    </w:p>
    <w:p>
      <w:r>
        <w:rPr>
          <w:color w:val="555555"/>
          <w:sz w:val="18"/>
        </w:rPr>
        <w:t xml:space="preserve">Eisenbahnausgleichsverordnung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Staatsministerium für Wohnen, Bau und Verkehr ist die von der Landesregierung bestimmte Behörde im Sinn von § 6a Abs. 3 Allgemeines Eisenbahngesetz.</w:t>
      </w:r>
    </w:p>
    <w:p>
      <w:r>
        <w:rPr>
          <w:color w:val="555555"/>
          <w:sz w:val="17"/>
        </w:rPr>
        <w:t xml:space="preserve">Zitiervorschlag: § 2 AEGKostenZustV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https://recht.nulegal.eu/gesetze/AEGKostenZustV/2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