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6h AEG — Ersetzung bundesrechtlicher Vorschriften durch Landesrecht</w:t>
      </w:r>
    </w:p>
    <w:p>
      <w:r>
        <w:rPr>
          <w:color w:val="555555"/>
          <w:sz w:val="18"/>
        </w:rPr>
        <w:t xml:space="preserve">Allgemeines Eisenbahngesetz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Länder können mit Wirkung ab dem 1. Januar 2007 die Vorschriften der §§ 6a, 6c, 6e und 6f sowie die Vorschriften, zu deren Erlass § 6e ermächtigt, durch Landesrecht ersetzen.</w:t>
      </w:r>
    </w:p>
    <w:p>
      <w:r>
        <w:rPr>
          <w:color w:val="555555"/>
          <w:sz w:val="17"/>
        </w:rPr>
        <w:t xml:space="preserve">Zitiervorschlag: § 6h AEG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https://recht.nulegal.eu/gesetze/AEG/6h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