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6e AEG — Ermittlung des Ausgleichs, Verfahren</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Das Bundesministerium für Verkehr, Bau und Stadtentwicklung wird ermächtigt, durch Rechtsverordnung mit Zustimmung des Bundesrates zu bestimmen, was Ausbildungsverkehr im Sinne dieses Gesetzes ist, welche Kostenbestandteile bei der Ausgleichsberechnung zu berücksichtigen sind, welches Verfahren zur Gewährung des Ausgleichs nach § 6a anzuwenden ist, welche Angaben der Antrag auf Ausgleich enthalten muß und wie die Erträge und die Personen-Kilometer zu ermitteln sind.</w:t>
      </w:r>
    </w:p>
    <w:p>
      <w:r>
        <w:t xml:space="preserve">(2) (weggefallen)</w:t>
      </w:r>
    </w:p>
    <w:p>
      <w:r>
        <w:rPr>
          <w:color w:val="555555"/>
          <w:sz w:val="17"/>
        </w:rPr>
        <w:t xml:space="preserve">Zitiervorschlag: § 6e 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