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7c AEG 1994 — Sicherheitsgenehmigung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16.06.2020 (konsolidierte Textfassung, kein amtliches Inkrafttretensdatum)</w:t>
      </w:r>
    </w:p>
    <w:p>
      <w:r>
        <w:t xml:space="preserve">Ohne Sicherheitsgenehmigung dürfen Betreiber der Schienenwege keine Eisenbahninfrastruktur im übergeordneten Netz betreiben.</w:t>
      </w:r>
    </w:p>
    <w:p>
      <w:r>
        <w:rPr>
          <w:color w:val="555555"/>
          <w:sz w:val="17"/>
        </w:rPr>
        <w:t xml:space="preserve">Zitiervorschlag: § 7c AEG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https://recht.nulegal.eu/gesetze/AEG%201994/7c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7c AEG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