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6f AEG 1994 — Gültigkeit der Unternehmensgenehmigung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Wem nach dem Recht eines anderen Mitgliedstaates der Europäischen Union oder eines Vertragsstaates des Abkommens vom 2. Mai 1992 über den Europäischen Wirtschaftsraum für Tätigkeiten nach Artikel 17 Absatz 4 der Richtlinie 2012/34/EU eine Unternehmensgenehmigung erteilt wurde, bedarf im Inland für diese Tätigkeiten keiner weiteren Unternehmensgenehmigung.</w:t>
      </w:r>
    </w:p>
    <w:p>
      <w:r>
        <w:t xml:space="preserve">(2) Wem eine Unternehmensgenehmigung im Sinne des Absatzes 1 erteilt wurde, muss dem Eisenbahn-Bundesamt vor Aufnahme des Verkehrs auf dem Gebiet der Bundesrepublik Deutschland diese Unternehmensgenehmigung vorlegen. Zugangsrechte bleiben unberührt.</w:t>
      </w:r>
    </w:p>
    <w:p>
      <w:r>
        <w:t xml:space="preserve">(3) Die Genehmigungsbehörde kann die von ihr erteilte Genehmigung mit der Auflage versehen, dass regelmäßig eine Überprüfung durchzuführen ist. Die Frist für die Überprüfung beträgt höchstens fünf Jahre.</w:t>
      </w:r>
    </w:p>
    <w:p>
      <w:r>
        <w:rPr>
          <w:color w:val="555555"/>
          <w:sz w:val="17"/>
        </w:rPr>
        <w:t xml:space="preserve">Zitiervorschlag: § 6f AEG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https://recht.nulegal.eu/gesetze/AEG%201994/6f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