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6b AEG 1994 — Anforderungen an die Zuverlässigkeit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18.07.2019 (konsolidierte Textfassung, kein amtliches Inkrafttretensdatum)</w:t>
      </w:r>
    </w:p>
    <w:p>
      <w:r>
        <w:t xml:space="preserve">(1) Die für die Führung der Geschäfte bestellten Personen und das Unternehmen müssen zuverlässig sein.</w:t>
      </w:r>
    </w:p>
    <w:p>
      <w:r>
        <w:t xml:space="preserve">(2) Eine für die Führung der Geschäfte bestellte Person gilt insbesondere dann nicht als zuverlässig, wenn sie</w:t>
      </w:r>
    </w:p>
    <w:p>
      <w:pPr>
        <w:ind w:left="420"/>
      </w:pPr>
      <w:r>
        <w:t xml:space="preserve">1. rechtskräftig wegen Straftaten, einschließlich in Verkehrsvorschriften aufgeführter Verstöße, oder</w:t>
      </w:r>
    </w:p>
    <w:p>
      <w:pPr>
        <w:ind w:left="420"/>
      </w:pPr>
      <w:r>
        <w:t xml:space="preserve">2. wegen schwerer oder wiederholter Verstöße gegen arbeits- oder sozialrechtliche Pflichten, einschließlich der Pflichten aus dem Arbeitsschutzrecht, oder</w:t>
      </w:r>
    </w:p>
    <w:p>
      <w:pPr>
        <w:ind w:left="420"/>
      </w:pPr>
      <w:r>
        <w:t xml:space="preserve">3. im Falle eines Unternehmens, das einen grenzüberschreitenden Güterverkehr, der Zollverfahren unterliegt, zu betreiben wünscht, wegen schwerer oder wiederholter Verstöße gegen zollrechtliche Pflichten, oder</w:t>
      </w:r>
    </w:p>
    <w:p>
      <w:pPr>
        <w:ind w:left="420"/>
      </w:pPr>
      <w:r>
        <w:t xml:space="preserve">4. wegen schwerer oder wiederholter Verstöße gegen Pflichten, die sich aus allgemein verbindlichen Tarifverträgen ergeben,</w:t>
      </w:r>
    </w:p>
    <w:p>
      <w:r>
        <w:t xml:space="preserve">zu einer Freiheitsstrafe von mindestens einem Jahr verurteilt worden ist.</w:t>
      </w:r>
    </w:p>
    <w:p>
      <w:r>
        <w:t xml:space="preserve">(3) Ein Unternehmen gilt insbesondere dann nicht als zuverlässig, wenn gegen dieses eine Geldbuße von mehr als einhunderttausend Euro</w:t>
      </w:r>
    </w:p>
    <w:p>
      <w:pPr>
        <w:ind w:left="420"/>
      </w:pPr>
      <w:r>
        <w:t xml:space="preserve">1. wegen schwerwiegender Gesetzesverstöße, einschließlich in Verkehrsvorschriften aufgeführter Verstöße, oder</w:t>
      </w:r>
    </w:p>
    <w:p>
      <w:pPr>
        <w:ind w:left="420"/>
      </w:pPr>
      <w:r>
        <w:t xml:space="preserve">2. wegen schwerer oder wiederholter Verstöße gegen arbeits- oder sozialrechtliche Pflichten, einschließlich der Pflichten aus dem Arbeitsschutzrecht, oder</w:t>
      </w:r>
    </w:p>
    <w:p>
      <w:pPr>
        <w:ind w:left="420"/>
      </w:pPr>
      <w:r>
        <w:t xml:space="preserve">3. im Falle eines Unternehmens, das einen grenzüberschreitenden Güterverkehr, der Zollverfahren unterliegt, zu betreiben wünscht, wegen schwerer oder wiederholter Verstöße gegen zollrechtliche Pflichten oder</w:t>
      </w:r>
    </w:p>
    <w:p>
      <w:pPr>
        <w:ind w:left="420"/>
      </w:pPr>
      <w:r>
        <w:t xml:space="preserve">4. wegen schwerer oder wiederholter Verstöße gegen Pflichten, die sich aus allgemein verbindlichen Tarifverträgen ergeben,</w:t>
      </w:r>
    </w:p>
    <w:p>
      <w:r>
        <w:t xml:space="preserve">bestandskräftig festgesetzt wurde.</w:t>
      </w:r>
    </w:p>
    <w:p>
      <w:r>
        <w:rPr>
          <w:color w:val="555555"/>
          <w:sz w:val="17"/>
        </w:rPr>
        <w:t xml:space="preserve">Zitiervorschlag: § 6b AEG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