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AEG 1994 — Erteilen und Versagen der Unternehmensgenehmigung</w:t>
      </w:r>
    </w:p>
    <w:p>
      <w:r>
        <w:rPr>
          <w:color w:val="555555"/>
          <w:sz w:val="18"/>
        </w:rPr>
        <w:t xml:space="preserve">Allgemeines Eisenbahngesetz</w:t>
      </w:r>
    </w:p>
    <w:p>
      <w:r>
        <w:rPr>
          <w:color w:val="555555"/>
          <w:sz w:val="18"/>
        </w:rPr>
        <w:t xml:space="preserve">Stand: 01.07.2021 (konsolidierte Textfassung, kein amtliches Inkrafttretensdatum)</w:t>
      </w:r>
    </w:p>
    <w:p>
      <w:r>
        <w:t xml:space="preserve">(1) Ohne Unternehmensgenehmigung darf niemand</w:t>
      </w:r>
    </w:p>
    <w:p>
      <w:pPr>
        <w:ind w:left="420"/>
      </w:pPr>
      <w:r>
        <w:t xml:space="preserve">1. Eisenbahnverkehrsdienste erbringen,</w:t>
      </w:r>
    </w:p>
    <w:p>
      <w:pPr>
        <w:ind w:left="420"/>
      </w:pPr>
      <w:r>
        <w:t xml:space="preserve">2. als Fahrzeughalter selbstständig am Eisenbahnbetrieb teilnehmen oder</w:t>
      </w:r>
    </w:p>
    <w:p>
      <w:pPr>
        <w:ind w:left="420"/>
      </w:pPr>
      <w:r>
        <w:t xml:space="preserve">3. Schienenwege, Steuerungs- und Sicherungssysteme oder Bahnsteige betreiben.</w:t>
      </w:r>
    </w:p>
    <w:p>
      <w:r>
        <w:t xml:space="preserve">Keiner Unternehmensgenehmigung bedürfen</w:t>
      </w:r>
    </w:p>
    <w:p>
      <w:pPr>
        <w:ind w:left="420"/>
      </w:pPr>
      <w:r>
        <w:t xml:space="preserve">1. der Betreiber einer Serviceeinrichtung,</w:t>
      </w:r>
    </w:p>
    <w:p>
      <w:pPr>
        <w:ind w:left="420"/>
      </w:pPr>
      <w:r>
        <w:t xml:space="preserve">2. der Betreiber einer Werksbahn und</w:t>
      </w:r>
    </w:p>
    <w:p>
      <w:pPr>
        <w:ind w:left="420"/>
      </w:pPr>
      <w:r>
        <w:t xml:space="preserve">3. Tätigkeiten im Sinne des Satzes 1 Nummer 1 und 2, sofern die Eisenbahninfrastruktur einer Werksbahn benutzt wird.</w:t>
      </w:r>
    </w:p>
    <w:p>
      <w:r>
        <w:t xml:space="preserve">(2) Sind Anforderungen der §§ 6a bis 6e erfüllt, ist die Unternehmensgenehmigung zu erteilen. Die Genehmigung nach Absatz 1 Satz 1 Nummer 3 wird für eine bestimmte Eisenbahninfrastruktur erteilt.</w:t>
      </w:r>
    </w:p>
    <w:p>
      <w:r>
        <w:t xml:space="preserve">(3) Die Unternehmensgenehmigung kann nur beantragt werden, wenn der Antragsteller in Deutschland niedergelassen ist oder dort eine juristisch selbstständige Niederlassung betreibt.</w:t>
      </w:r>
    </w:p>
    <w:p>
      <w:r>
        <w:t xml:space="preserve">(4) Die Genehmigungsbehörde entscheidet über den Antrag so bald wie möglich, spätestens jedoch drei Monate nach Vorlage aller erforderlichen Unterlagen.</w:t>
      </w:r>
    </w:p>
    <w:p>
      <w:r>
        <w:t xml:space="preserve">(5) Für jede Eisenbahninfrastruktur darf es nur eine Unternehmensgenehmigung geben. Wird eine Eisenbahninfrastruktur nach § 11 abgegeben oder stillgelegt, so ist die Unternehmensgenehmigung des abgebenden oder stilllegenden Eisenbahninfrastrukturunternehmens für diese Eisenbahninfrastruktur aufzuheben. Im Falle der Abgabe darf die Unternehmensgenehmigung für das übernehmende Eisenbahninfrastrukturunternehmen erst zu dem Zeitpunkt wirksam werden, zu dem die Aufhebung wirksam geworden ist.</w:t>
      </w:r>
    </w:p>
    <w:p>
      <w:r>
        <w:t xml:space="preserve">(6) Die Unternehmensgenehmigung allein berechtigt nicht zum Zugang zur Eisenbahninfrastruktur.</w:t>
      </w:r>
    </w:p>
    <w:p>
      <w:r>
        <w:rPr>
          <w:color w:val="555555"/>
          <w:sz w:val="17"/>
        </w:rPr>
        <w:t xml:space="preserve">Zitiervorschlag: § 6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AEG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