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5c AEG 1994 — Erhebung, Verarbeitung und Nutzung von Daten</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Eine Stelle für Eisenbahn-Unfalluntersuchung darf im Rahmen ihrer Befugnisse nach § 5b Absatz 3 personenbezogene Daten aller an dem gefährlichen Ereignis im Eisenbahnbetrieb beteiligten oder von diesem betroffenen Personen sowie von Zeugen und anderen Personen, die im Rahmen der Untersuchung dieses gefährlichen Ereignisses Aussagen machen, erheben, verarbeiten und nutzen, soweit dies für die Erfüllung des Untersuchungsauftrags nach § 5b Absatz 1 erforderlich ist. Ebenso stellen sie die beteiligten Eisenbahn- und gegebenenfalls Straßenfahrzeuge mit identifizierenden Fahrzeug- und Halterdaten fest.</w:t>
      </w:r>
    </w:p>
    <w:p>
      <w:r>
        <w:t xml:space="preserve">(2) Personenbezogene Daten im Sinne des Absatzes 1 sind</w:t>
      </w:r>
    </w:p>
    <w:p>
      <w:pPr>
        <w:ind w:left="420"/>
      </w:pPr>
      <w:r>
        <w:t xml:space="preserve">1. Name und Vorname,</w:t>
      </w:r>
    </w:p>
    <w:p>
      <w:pPr>
        <w:ind w:left="420"/>
      </w:pPr>
      <w:r>
        <w:t xml:space="preserve">2. Anschrift und Telekommunikationsinformationen,</w:t>
      </w:r>
    </w:p>
    <w:p>
      <w:pPr>
        <w:ind w:left="420"/>
      </w:pPr>
      <w:r>
        <w:t xml:space="preserve">3. Stellung im Eisenbahnbetrieb oder in der Eisenbahn,</w:t>
      </w:r>
    </w:p>
    <w:p>
      <w:pPr>
        <w:ind w:left="420"/>
      </w:pPr>
      <w:r>
        <w:t xml:space="preserve">4. die nachgewiesenen Befähigungen gemäß § 54 Absatz 1 Eisenbahn-Bau- und Betriebsordnung,</w:t>
      </w:r>
    </w:p>
    <w:p>
      <w:pPr>
        <w:ind w:left="420"/>
      </w:pPr>
      <w:r>
        <w:t xml:space="preserve">5. Beruf und beruflicher Werdegang,</w:t>
      </w:r>
    </w:p>
    <w:p>
      <w:pPr>
        <w:ind w:left="420"/>
      </w:pPr>
      <w:r>
        <w:t xml:space="preserve">6. Betriebsdiensttauglichkeit gemäß § 48 Eisenbahn-Bau- und Betriebsordnung,</w:t>
      </w:r>
    </w:p>
    <w:p>
      <w:pPr>
        <w:ind w:left="420"/>
      </w:pPr>
      <w:r>
        <w:t xml:space="preserve">7. Angaben zum aktuellen Gesundheitszustand und zu Vorerkrankungen, soweit hierin ein Bezug zum gefährlichen Ereignis gesehen werden kann.</w:t>
      </w:r>
    </w:p>
    <w:p>
      <w:r>
        <w:t xml:space="preserve">(3) Die nach Absatz 1 oder weiteren Vorschriften dieses Gesetzes erhobenen und gespeicherten personenbezogenen Daten, insbesondere vertrauliche Erklärungen, sind durch technisch-organisatorische Maßnahmen gegen unbefugte Nutzung und dabei insbesondere gegen unbefugte Einsichtnahme besonders zu schützen.</w:t>
      </w:r>
    </w:p>
    <w:p>
      <w:r>
        <w:t xml:space="preserve">(4) Die nach Absatz 1 erhobenen Daten werden entweder automatisiert oder nicht automatisiert in Akten gespeichert.</w:t>
      </w:r>
    </w:p>
    <w:p>
      <w:r>
        <w:rPr>
          <w:color w:val="555555"/>
          <w:sz w:val="17"/>
        </w:rPr>
        <w:t xml:space="preserve">Zitiervorschlag: § 5c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