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AEG 1994 — Instandhaltung</w:t>
      </w:r>
    </w:p>
    <w:p>
      <w:r>
        <w:rPr>
          <w:color w:val="555555"/>
          <w:sz w:val="18"/>
        </w:rPr>
        <w:t xml:space="preserve">Allgemeines Eisenbahngesetz</w:t>
      </w:r>
    </w:p>
    <w:p>
      <w:r>
        <w:rPr>
          <w:color w:val="555555"/>
          <w:sz w:val="18"/>
        </w:rPr>
        <w:t xml:space="preserve">Stand: 16.06.2020 (konsolidierte Textfassung, kein amtliches Inkrafttretensdatum)</w:t>
      </w:r>
    </w:p>
    <w:p>
      <w:r>
        <w:t xml:space="preserve">(1) Die Eisenbahnen und Halter von Eisenbahnfahrzeugen sind für die Instandhaltung jedes ihrer Eisenbahnfahrzeuge zuständig (für die Instandhaltung zuständige Stelle). Sie können die Aufgabe nach Satz 1 auf die für die Instandhaltung zuständige Stelle eines Dritten übertragen.</w:t>
      </w:r>
    </w:p>
    <w:p>
      <w:r>
        <w:t xml:space="preserve">(2) Unbeschadet der Verantwortung der Eisenbahnen und Halter von Eisenbahnfahrzeugen für den sicheren Betrieb sind die für die Instandhaltung zuständigen Stellen verpflichtet, die von ihnen zur Instandhaltung übernommenen Eisenbahnfahrzeuge in betriebssicherem Zustand zu halten.</w:t>
      </w:r>
    </w:p>
    <w:p>
      <w:r>
        <w:t xml:space="preserve">(3) Die für die Instandhaltung zuständigen Stellen haben ein Instandhaltungssystem einzurichten und über dessen Inhalt in nicht personenbezogener Form Aufzeichnungen zu führen. Die Instandhaltung richtet sich nach</w:t>
      </w:r>
    </w:p>
    <w:p>
      <w:pPr>
        <w:ind w:left="420"/>
      </w:pPr>
      <w:r>
        <w:t xml:space="preserve">1. den Instandhaltungsunterlagen jedes Eisenbahnfahrzeuges und</w:t>
      </w:r>
    </w:p>
    <w:p>
      <w:pPr>
        <w:ind w:left="420"/>
      </w:pPr>
      <w:r>
        <w:t xml:space="preserve">2. den anwendbaren Anforderungen, einschließlich der einschlägigen Regelungen zur Fahrzeuginstandhaltung.</w:t>
      </w:r>
    </w:p>
    <w:p>
      <w:r>
        <w:t xml:space="preserve">Das Instandhaltungssystem der Stellen, die zuständig sind für die Instandhaltung von Eisenbahnfahrzeugen, die im übergeordneten Netz verkehren, richtet sich nach den Anforderungen des Artikels 14 Absatz 3 Satz 1 bis 3 der Richtlinie (EU) 2016/798. Satz 3 gilt nicht für die Instandhaltung von Eisenbahnfahrzeugen, die ausschließlich für historische oder touristische Zwecke genutzt werden oder die auf Eisenbahninfrastrukturen nach § 2b Absatz 1 Nummer 1 bis 4 betrieben werden und ausschließlich bis in den Übergangsbahnhof des übergeordneten Netzes fahren. Die Stellen für die Instandhaltung von Eisenbahnfahrzeugen, die nicht von der Verpflichtung nach Satz 3 erfasst sind, haben in geeigneter Weise Regelungen zur Erfüllung der Anforderungen der öffentlichen Sicherheit festzulegen.</w:t>
      </w:r>
    </w:p>
    <w:p>
      <w:r>
        <w:t xml:space="preserve">(4) Die für die Instandhaltung zuständigen Stellen haben Aufzeichnungen über den Inhalt des Instandhaltungssystems, die sie nicht mehr verwenden, unverzüglich als solche zu kennzeichnen. Die Stellen sind verpflichtet, diese Aufzeichnungen ab dem Tag der Kennzeichnung fünf Jahre lang aufzubewahren.</w:t>
      </w:r>
    </w:p>
    <w:p>
      <w:r>
        <w:t xml:space="preserve">(5) Die für die Instandhaltung zuständigen Stellen haben die Instandhaltungsunterlagen jedes Eisenbahnfahrzeuges so lange aufzubewahren, wie das Eisenbahnfahrzeug als ein solches verwendet werden kann. Die Instandhaltungsnachweise jedes Eisenbahnfahrzeuges, die zu den Instandhaltungsunterlagen zählen, sind dabei nach DIN 27201-2:2012-02[2] aufzubewahren.</w:t>
      </w:r>
    </w:p>
    <w:p>
      <w:r>
        <w:t xml:space="preserve">2 Amtlicher Hinweis: Diese DIN-Norm ist im Beuth Verlag GmbH, Berlin, erschienen und beim Deutschen Patent- und Markenamt in München archivmäßig gesichert niedergelegt.</w:t>
      </w:r>
    </w:p>
    <w:p>
      <w:r>
        <w:rPr>
          <w:color w:val="555555"/>
          <w:sz w:val="17"/>
        </w:rPr>
        <w:t xml:space="preserve">Zitiervorschlag: § 4a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