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35a AEG 1994 — Eisenbahnsicherheitsbeirat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16.06.2020 (konsolidierte Textfassung, kein amtliches Inkrafttretensdatum)</w:t>
      </w:r>
    </w:p>
    <w:p>
      <w:r>
        <w:t xml:space="preserve">(1) Der Eisenbahnsicherheitsbeirat hat die Aufgabe, das Eisenbahn-Bundesamt bei der Wahrnehmung seiner Aufgaben als Sicherheitsbehörde zu beraten und die Zusammenarbeit zwischen dem Eisenbahn-Bundesamt als Sicherheitsbehörde und den für die Eisenbahnaufsicht zuständigen obersten Landesbehörden zu fördern.</w:t>
      </w:r>
    </w:p>
    <w:p>
      <w:r>
        <w:t xml:space="preserve">(2) Dem Eisenbahnsicherheitsbeirat ist Gelegenheit zur Stellungnahme zu allgemeinen Fragen der Rechtsanwendung durch das Eisenbahn-Bundesamt im Rahmen der Aufgabenwahrnehmung als Sicherheitsbehörde, insbesondere hinsichtlich der Grundsätze der Ermessensausübung und der Auslegung unbestimmter Rechtsbegriffe, zu geben.</w:t>
      </w:r>
    </w:p>
    <w:p>
      <w:r>
        <w:t xml:space="preserve">(3) Sicherheitsbescheinigungen nach § 7a Abs. 1 oder Sicherheitsgenehmigungen nach § 7c für nichtbundeseigene Eisenbahnen bedürfen des Benehmens mit dem Eisenbahnsicherheitsbeirat. In dringenden Fällen können Sicherheitsbescheinigungen oder Sicherheitsgenehmigungen auch ohne das Benehmen ergehen; in solchen Fällen ist der Eisenbahnsicherheitsbeirat nachträglich zu unterrichten.</w:t>
      </w:r>
    </w:p>
    <w:p>
      <w:r>
        <w:t xml:space="preserve">(4) Der Eisenbahnsicherheitsbeirat ist gegenüber dem Eisenbahn-Bundesamt berechtigt, Auskünfte und Stellungnahmen einzuholen. Das Eisenbahn-Bundesamt ist insoweit auskunftspflichtig.</w:t>
      </w:r>
    </w:p>
    <w:p>
      <w:r>
        <w:rPr>
          <w:color w:val="555555"/>
          <w:sz w:val="17"/>
        </w:rPr>
        <w:t xml:space="preserve">Zitiervorschlag: § 35a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https://recht.nulegal.eu/gesetze/AEG%201994/35a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35a AEG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