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AEG 1994 — Teilnahme am Eisenbahnbetrieb durch Wagenhalter</w:t>
      </w:r>
    </w:p>
    <w:p>
      <w:r>
        <w:rPr>
          <w:color w:val="555555"/>
          <w:sz w:val="18"/>
        </w:rPr>
        <w:t xml:space="preserve">Allgemeines Eisenbahngesetz</w:t>
      </w:r>
    </w:p>
    <w:p>
      <w:r>
        <w:rPr>
          <w:color w:val="555555"/>
          <w:sz w:val="18"/>
        </w:rPr>
        <w:t xml:space="preserve">Stand: 01.10.2021 (konsolidierte Textfassung, kein amtliches Inkrafttretensdatum)</w:t>
      </w:r>
    </w:p>
    <w:p>
      <w:r>
        <w:t xml:space="preserve">Für Wagenhalter gelten, wenn nichts anderes bestimmt ist, die Vorschriften für nichtöffentliche Eisenbahnverkehrsunternehmen entsprechend, soweit sie die Eisenbahnaufsicht betreffen.</w:t>
      </w:r>
    </w:p>
    <w:p>
      <w:r>
        <w:rPr>
          <w:color w:val="555555"/>
          <w:sz w:val="17"/>
        </w:rPr>
        <w:t xml:space="preserve">Zitiervorschlag: § 32 AEG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https://recht.nulegal.eu/gesetze/AEG%201994/32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