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AEG 1994 — Öffentlicher Eisenbahnverkehr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Eisenbahnen dienen dem öffentlichen Verkehr (öffentliche Eisenbahnen), wenn sie als</w:t>
      </w:r>
    </w:p>
    <w:p>
      <w:pPr>
        <w:ind w:left="420"/>
      </w:pPr>
      <w:r>
        <w:t xml:space="preserve">1. Eisenbahnverkehrsunternehmen gewerbs- oder geschäftsmäßig betrieben werden und jedermann sie nach ihrer Zweckbestimmung zur Personen- oder Güterbeförderung benutzen kann (öffentliche Eisenbahnverkehrsunternehmen),</w:t>
      </w:r>
    </w:p>
    <w:p>
      <w:pPr>
        <w:ind w:left="420"/>
      </w:pPr>
      <w:r>
        <w:t xml:space="preserve">2. Eisenbahninfrastrukturunternehmen Zugang zu ihrer Eisenbahninfrastruktur gewähren müssen (öffentliche Eisenbahninfrastrukturunternehmen),</w:t>
      </w:r>
    </w:p>
    <w:p>
      <w:pPr>
        <w:ind w:left="420"/>
      </w:pPr>
      <w:r>
        <w:t xml:space="preserve">3. Betreiber der Schienenwege Zugang zu ihren Schienenwegen gewähren müssen (öffentliche Betreiber der Schienenwege).</w:t>
      </w:r>
    </w:p>
    <w:p>
      <w:r>
        <w:t xml:space="preserve">(2) Die nicht von Absatz 1 erfassten Eisenbahnen und Werksbahnen sind nichtöffentliche Eisenbahnen.</w:t>
      </w:r>
    </w:p>
    <w:p>
      <w:r>
        <w:rPr>
          <w:color w:val="555555"/>
          <w:sz w:val="17"/>
        </w:rPr>
        <w:t xml:space="preserve">Zitiervorschlag: § 3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