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AEG 1994 — Zuordnung zum übergeordneten Netz</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(1) Öffentliche Betreiber der Schienenwege haben der nach § 5 Absatz 1a zuständigen Behörde auf Verlangen die für die Zuordnung zum übergeordneten Netz im Sinne des § 2b erforderlichen Daten unentgeltlich zur Verfügung zu stellen.</w:t>
      </w:r>
    </w:p>
    <w:p>
      <w:r>
        <w:t xml:space="preserve">(2) Die nach § 5 Absatz 1a zuständige Behörde entscheidet innerhalb von sechs Monaten nach Inkrafttreten dieser Vorschrift, bei Neubau sechs Monate nach Betriebsaufnahme über die Zuordnung der Eisenbahninfrastruktur eines öffentlichen Betreibers der Schienenwege zu dem übergeordneten Netz im Sinne des § 2b. Sie übermittelt unverzüglich dem betroffenen Betreiber eine Entscheidung, welche die dem übergeordneten Netz zugeordnete Eisenbahninfrastruktur beschreibt. Ist bereits eine Sicherheitsgenehmigung erteilt, so gilt die darin beschriebene Eisenbahninfrastruktur als dem übergeordneten Netz im Sinne des § 2b zugehörig; § 2b Absatz 1 bleibt unberührt.</w:t>
      </w:r>
    </w:p>
    <w:p>
      <w:r>
        <w:t xml:space="preserve">(3) Änderungen der Umstände, die für die Zuordnung zum übergeordneten Netz entscheidend sind, hat der betroffene Betreiber der Schienenwege gegenüber der nach Absatz 1 zuständigen Behörde unverzüglich anzuzeigen. Die Behörde entscheidet von Amts wegen oder auf Antrag des Betreibers der Schienenwege erneut über die Zuordnung der Eisenbahninfrastruktur zum übergeordneten Netz.</w:t>
      </w:r>
    </w:p>
    <w:p>
      <w:r>
        <w:t xml:space="preserve">(4) Die nach § 5 Absatz 1a zuständige Landesbehörde teilt bestandskräftige Entscheidungen über die Zuordnung nach Absatz 2 unverzüglich dem Eisenbahn-Bundesamt mit.</w:t>
      </w:r>
    </w:p>
    <w:p>
      <w:r>
        <w:t xml:space="preserve">(5) Das Eisenbahn-Bundesamt führt die von den Ländern gemeldeten Eisenbahninfrastrukturen des übergeordneten Netzes in einer Liste zusammen und ergänzt diese um die Eisenbahninfrastrukturen des übergeordneten Netzes der seiner Zuständigkeit unterliegenden Eisenbahninfrastrukturunternehmen. Es hält die Liste auf dem neuesten Stand und stellt sie, gegen anonymen Zugriff geschützt, auf seiner Internetseite bereit.</w:t>
      </w:r>
    </w:p>
    <w:p>
      <w:r>
        <w:rPr>
          <w:color w:val="555555"/>
          <w:sz w:val="17"/>
        </w:rPr>
        <w:t xml:space="preserve">Zitiervorschlag: § 2c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