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2b AEG 1994 — Übergeordnetes Netz</w:t>
      </w:r>
    </w:p>
    <w:p>
      <w:r>
        <w:rPr>
          <w:color w:val="555555"/>
          <w:sz w:val="18"/>
        </w:rPr>
        <w:t xml:space="preserve">Allgemeines Eisenbahngesetz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übergeordnete Netz als Teil des einheitlichen europäischen Eisenbahnraums ist das regelspurige Eisenbahnnetz, ausgenommen</w:t>
      </w:r>
    </w:p>
    <w:p>
      <w:pPr>
        <w:ind w:left="420"/>
      </w:pPr>
      <w:r>
        <w:t xml:space="preserve">1. Netze, die vom übrigen Eisenbahnsystem funktional getrennt sind und die nur für die Personenbeförderung im örtlichen Verkehr, Stadt- oder Vorortverkehr genutzt werden;</w:t>
      </w:r>
    </w:p>
    <w:p>
      <w:pPr>
        <w:ind w:left="420"/>
      </w:pPr>
      <w:r>
        <w:t xml:space="preserve">2. Eisenbahninfrastrukturen im Privateigentum, die von ihrem Eigentümer oder einem Betreiber für den eigenen Güterverkehr oder für die Personenbeförderung zu nichtgewerblichen Zwecken genutzt werden;</w:t>
      </w:r>
    </w:p>
    <w:p>
      <w:pPr>
        <w:ind w:left="420"/>
      </w:pPr>
      <w:r>
        <w:t xml:space="preserve">3. Infrastrukturen für Stadtbahnen, die gelegentlich von Eisenbahnfahrzeugen unter den Betriebsbedingungen für das betreffende Stadtbahnsystem genutzt werden, wenn dies für diese Fahrzeuge ausschließlich für Verbindungszwecke erforderlich ist;</w:t>
      </w:r>
    </w:p>
    <w:p>
      <w:pPr>
        <w:ind w:left="420"/>
      </w:pPr>
      <w:r>
        <w:t xml:space="preserve">4. Infrastrukturen, die ausschließlich für den lokal begrenzten Einsatz oder ausschließlich für historische oder touristische Zwecke genutzt werden.</w:t>
      </w:r>
    </w:p>
    <w:p>
      <w:r>
        <w:t xml:space="preserve">(2) Funktional getrennt nach Absatz 1 Nummer 1 bedeutet, dass in der Regel keine Züge zwischen dem übergeordneten Netz und dem davon funktional getrennten Netz übergehen. Das schließt nicht aus, dass</w:t>
      </w:r>
    </w:p>
    <w:p>
      <w:pPr>
        <w:ind w:left="420"/>
      </w:pPr>
      <w:r>
        <w:t xml:space="preserve">1. Züge aus dem funktional getrennten Netz in angrenzende Bahnhöfe des übergeordneten Netzes fahren und in diesen Bahnhöfen Gleise gemeinsam mit Zügen aus dem übergeordneten Netz genutzt werden,</w:t>
      </w:r>
    </w:p>
    <w:p>
      <w:pPr>
        <w:ind w:left="420"/>
      </w:pPr>
      <w:r>
        <w:t xml:space="preserve">2. in abgegrenzten Netzen für Stadtschnellbahnen (S-Bahnen), in denen neben Mischverkehrsstrecken Abschnitte mit spezifischen Abweichungen von allgemeinen Infrastrukturanforderungen ausschließlich von S-Bahn-Fahrzeugen bedient werden, S-Bahn-Fahrzeuge auch auf die Mischverkehrsabschnitte übergehen oder</w:t>
      </w:r>
    </w:p>
    <w:p>
      <w:pPr>
        <w:ind w:left="420"/>
      </w:pPr>
      <w:r>
        <w:t xml:space="preserve">3. Hybridfahrzeuge, deren technische Parameter den Einsatz in dem funktional getrennten Netz und dem übergeordneten Netz zulassen, regelmäßig für Zugfahrten zwischen diesen Netzen eingesetzt werden.</w:t>
      </w:r>
    </w:p>
    <w:p>
      <w:r>
        <w:rPr>
          <w:color w:val="555555"/>
          <w:sz w:val="17"/>
        </w:rPr>
        <w:t xml:space="preserve">Zitiervorschlag: § 2b AEG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https://recht.nulegal.eu/gesetze/AEG%201994/2b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