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AEG 1994 — Feststellung der Eisenbahneigenschaft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Die für Eisenbahnverkehr zuständige oberste Landesbehörde stellt auf Antrag, soweit es sich nicht um Schienenbahnen des Bundes handelt, im Benehmen mit dem Bundesministerium für Verkehr fest,</w:t>
      </w:r>
    </w:p>
    <w:p>
      <w:pPr>
        <w:ind w:left="420"/>
      </w:pPr>
      <w:r>
        <w:t xml:space="preserve">1. ob und inwieweit eine Schienenbahn eine Eisenbahn im Sinne dieses Gesetzes ist,</w:t>
      </w:r>
    </w:p>
    <w:p>
      <w:pPr>
        <w:ind w:left="420"/>
      </w:pPr>
      <w:r>
        <w:t xml:space="preserve">2. ob Schienenpersonennahverkehr im Sinne des § 2 Absatz 12 vorliegt oder</w:t>
      </w:r>
    </w:p>
    <w:p>
      <w:pPr>
        <w:ind w:left="420"/>
      </w:pPr>
      <w:r>
        <w:t xml:space="preserve">3. ob eine Eisenbahn</w:t>
      </w:r>
    </w:p>
    <w:p>
      <w:pPr>
        <w:ind w:left="780"/>
      </w:pPr>
      <w:r>
        <w:t xml:space="preserve">a) Stadt- und Vorortverkehr nach § 2 Absatz 16 oder</w:t>
      </w:r>
    </w:p>
    <w:p>
      <w:pPr>
        <w:ind w:left="780"/>
      </w:pPr>
      <w:r>
        <w:t xml:space="preserve">b) Regionalverkehr nach § 2 Absatz 18</w:t>
      </w:r>
    </w:p>
    <w:p>
      <w:pPr>
        <w:ind w:left="420"/>
      </w:pPr>
      <w:r>
        <w:t xml:space="preserve">im Sinne des Eisenbahnregulierungsgesetzes betreibt.</w:t>
      </w:r>
    </w:p>
    <w:p>
      <w:r>
        <w:rPr>
          <w:color w:val="555555"/>
          <w:sz w:val="17"/>
        </w:rPr>
        <w:t xml:space="preserve">Zitiervorschlag: § 2a AEG 1994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