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27 AEG 1994 — Allgemeine Verwaltungsvorschriften</w:t>
      </w:r>
    </w:p>
    <w:p>
      <w:r>
        <w:rPr>
          <w:color w:val="555555"/>
          <w:sz w:val="18"/>
        </w:rPr>
        <w:t xml:space="preserve">Allgemeines Eisenbahngesetz</w:t>
      </w:r>
    </w:p>
    <w:p>
      <w:r>
        <w:rPr>
          <w:color w:val="555555"/>
          <w:sz w:val="18"/>
        </w:rPr>
        <w:t xml:space="preserve">Stand: 31.07.2026 (konsolidierte Textfassung, kein amtliches Inkrafttretensdatum)</w:t>
      </w:r>
    </w:p>
    <w:p>
      <w:r>
        <w:t xml:space="preserve">Das Bundesministerium für Verkehr kann im Einvernehmen mit dem Bundesministerium für Arbeit und Soziales mit Zustimmung des Bundesrates zur Durchführung der auf Grund des § 26 Abs. 2 erlassenen Rechtsverordnungen allgemeine Verwaltungsvorschriften erlassen, insbesondere über die Ahndung einer Ordnungswidrigkeit nach § 28 Abs. 1 Nr. 4, 5 und 8.</w:t>
      </w:r>
    </w:p>
    <w:p>
      <w:r>
        <w:rPr>
          <w:color w:val="555555"/>
          <w:sz w:val="17"/>
        </w:rPr>
        <w:t xml:space="preserve">Zitiervorschlag: § 27 AEG 1994</w:t>
      </w:r>
    </w:p>
    <w:p>
      <w:r>
        <w:rPr>
          <w:color w:val="555555"/>
          <w:sz w:val="17"/>
        </w:rPr>
        <w:t xml:space="preserve">Quelle: Bundesamt für Justiz, abgerufen 31.07.2026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https://recht.nulegal.eu/gesetze/AEG%201994/27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