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14a AEG 1994 — Ausnahmen von der Versicherungspflicht</w:t>
      </w:r>
    </w:p>
    <w:p>
      <w:r>
        <w:rPr>
          <w:color w:val="555555"/>
          <w:sz w:val="18"/>
        </w:rPr>
        <w:t xml:space="preserve">Allgemeines Eisenbahngesetz</w:t>
      </w:r>
    </w:p>
    <w:p>
      <w:r>
        <w:rPr>
          <w:color w:val="555555"/>
          <w:sz w:val="18"/>
        </w:rPr>
        <w:t xml:space="preserve">Stand: 01.07.2021 (konsolidierte Textfassung, kein amtliches Inkrafttretensdatum)</w:t>
      </w:r>
    </w:p>
    <w:p>
      <w:r>
        <w:t xml:space="preserve">(1) Eine Versicherungspflicht nach § 14 Absatz 1 besteht nicht für</w:t>
      </w:r>
    </w:p>
    <w:p>
      <w:pPr>
        <w:ind w:left="420"/>
      </w:pPr>
      <w:r>
        <w:t xml:space="preserve">1. Eisenbahnverkehrsunternehmen,</w:t>
      </w:r>
    </w:p>
    <w:p>
      <w:pPr>
        <w:ind w:left="780"/>
      </w:pPr>
      <w:r>
        <w:t xml:space="preserve">a) die von einem nach § 3 Absatz 1 Nummer 4 des Versicherungsaufsichtsgesetzes vom 1. April 2015 (BGBl. I S. 434), das zuletzt durch Artikel 6 des Gesetzes vom 19. März 2020 (BGBl. I S. 529) geändert worden ist, von der Versicherungsaufsicht freigestellten Haftpflichtschadenausgleich in gleicher Weise Deckung erhalten,</w:t>
      </w:r>
    </w:p>
    <w:p>
      <w:pPr>
        <w:ind w:left="780"/>
      </w:pPr>
      <w:r>
        <w:t xml:space="preserve">b) die nicht dem öffentlichen Verkehr dienen, soweit sie die Infrastruktur einer Werksbahn benutzen, oder</w:t>
      </w:r>
    </w:p>
    <w:p>
      <w:pPr>
        <w:ind w:left="780"/>
      </w:pPr>
      <w:r>
        <w:t xml:space="preserve">c) die für einen Schaden aus einem Frachtvertrag haften;</w:t>
      </w:r>
    </w:p>
    <w:p>
      <w:pPr>
        <w:ind w:left="420"/>
      </w:pPr>
      <w:r>
        <w:t xml:space="preserve">2. Eisenbahninfrastrukturunternehmen,</w:t>
      </w:r>
    </w:p>
    <w:p>
      <w:pPr>
        <w:ind w:left="780"/>
      </w:pPr>
      <w:r>
        <w:t xml:space="preserve">a) die von einem nach § 3 Absatz 1 Nummer 4 des Versicherungsaufsichtsgesetzes vom 1. April 2015 (BGBl. I S. 434), das zuletzt durch Artikel 6 des Gesetzes vom 19. März 2020 (BGBl. I S. 529) geändert worden ist, von der Versicherungsaufsicht freigestellten Haftpflichtschadenausgleich in gleicher Weise Deckung erhalten,</w:t>
      </w:r>
    </w:p>
    <w:p>
      <w:pPr>
        <w:ind w:left="780"/>
      </w:pPr>
      <w:r>
        <w:t xml:space="preserve">b) soweit sie Werksbahn sind oder</w:t>
      </w:r>
    </w:p>
    <w:p>
      <w:pPr>
        <w:ind w:left="780"/>
      </w:pPr>
      <w:r>
        <w:t xml:space="preserve">c) die mehrheitlich im Eigentum einer Gebietskörperschaft mit mehr als 100 000 Einwohnern oder eines Gemeindeverbandes stehen und die über eine entsprechende Deckung durch selbstschuldnerische Bürgschaft oder gleichwertige Deckungszusage der Gebietskörperschaft oder des Gemeindeverbandes verfügen.</w:t>
      </w:r>
    </w:p>
    <w:p>
      <w:r>
        <w:t xml:space="preserve">Im Falle des Satzes 1 Nummer 2 Buchstabe c muss die selbstschuldnerische Bürgschaft oder gleichwertige Deckungszusage geschädigten Dritten einen Direktanspruch gegen die Gebietskörperschaft oder den Gemeindeverband gewähren; das ersatzpflichtige Eisenbahninfrastrukturunternehmen und die Gebietskörperschaft oder der Gemeindeverband haften als Gesamtschuldner.</w:t>
      </w:r>
    </w:p>
    <w:p>
      <w:r>
        <w:t xml:space="preserve">(2) Eine Versicherungspflicht nach § 14 Absatz 2 besteht nicht für Wagenhalter,</w:t>
      </w:r>
    </w:p>
    <w:p>
      <w:pPr>
        <w:ind w:left="420"/>
      </w:pPr>
      <w:r>
        <w:t xml:space="preserve">1. die von einem nach § 3 Absatz 1 Nummer 4 des Versicherungsaufsichtsgesetzes vom 1. April 2015 (BGBl. I S. 434), das zuletzt durch Artikel 6 des Gesetzes vom 19. März 2020 (BGBl. I S. 529) geändert worden ist, von der Versicherungsaufsicht freigestellten Haftpflichtschadenausgleich in gleicher Weise Deckung erhalten oder</w:t>
      </w:r>
    </w:p>
    <w:p>
      <w:pPr>
        <w:ind w:left="420"/>
      </w:pPr>
      <w:r>
        <w:t xml:space="preserve">2. soweit sie die Infrastruktur einer Werksbahn benutzen.</w:t>
      </w:r>
    </w:p>
    <w:p>
      <w:r>
        <w:t xml:space="preserve">(3) Von den Bestimmungen des Absatzes 1 Satz 1 Nummer 1 Buchstabe b und Nummer 2 Buchstabe b kann für die in § 5 Absatz 1a Nummer 2 bezeichneten Eisenbahnen durch Landesrecht abgewichen werden.</w:t>
      </w:r>
    </w:p>
    <w:p>
      <w:r>
        <w:rPr>
          <w:color w:val="555555"/>
          <w:sz w:val="17"/>
        </w:rPr>
        <w:t xml:space="preserve">Zitiervorschlag: § 14a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14a AEG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